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D0" w:rsidRPr="00A629D0" w:rsidRDefault="00A629D0" w:rsidP="00A629D0">
      <w:pPr>
        <w:autoSpaceDE w:val="0"/>
        <w:autoSpaceDN w:val="0"/>
        <w:adjustRightInd w:val="0"/>
        <w:jc w:val="both"/>
        <w:rPr>
          <w:rFonts w:ascii="PF Din Text Cond Pro Light" w:eastAsia="Calibri" w:hAnsi="PF Din Text Cond Pro Light" w:cs="PF Din Text Cond Pro Light"/>
          <w:sz w:val="36"/>
          <w:szCs w:val="36"/>
        </w:rPr>
      </w:pPr>
    </w:p>
    <w:p w:rsidR="00A629D0" w:rsidRPr="00A629D0" w:rsidRDefault="00A629D0" w:rsidP="00A629D0">
      <w:pPr>
        <w:autoSpaceDE w:val="0"/>
        <w:autoSpaceDN w:val="0"/>
        <w:adjustRightInd w:val="0"/>
        <w:ind w:firstLine="540"/>
        <w:jc w:val="center"/>
        <w:rPr>
          <w:rFonts w:ascii="PF Din Text Cond Pro Light" w:eastAsia="Calibri" w:hAnsi="PF Din Text Cond Pro Light" w:cs="PF Din Text Cond Pro Light"/>
          <w:b/>
          <w:color w:val="0070C0"/>
          <w:sz w:val="32"/>
          <w:szCs w:val="32"/>
        </w:rPr>
      </w:pPr>
      <w:r w:rsidRPr="00A629D0">
        <w:rPr>
          <w:rFonts w:ascii="PF Din Text Cond Pro Light" w:eastAsia="Calibri" w:hAnsi="PF Din Text Cond Pro Light" w:cs="PF Din Text Cond Pro Light"/>
          <w:b/>
          <w:color w:val="0070C0"/>
          <w:sz w:val="32"/>
          <w:szCs w:val="32"/>
        </w:rPr>
        <w:t>О возможности отнесения страховых взносов, уплачиваемых индивидуальными предпринимателями в Пенсионный фонд Российской Федерации и Федеральный фонд обязательного медицинского страхования в размере 1% от суммы доходов, превышающих 300,0 тыс. руб., к страховым взносам, уплачиваемым в фиксированном размере.</w:t>
      </w:r>
    </w:p>
    <w:p w:rsidR="00A629D0" w:rsidRDefault="00A629D0" w:rsidP="00A629D0">
      <w:pPr>
        <w:autoSpaceDE w:val="0"/>
        <w:autoSpaceDN w:val="0"/>
        <w:adjustRightInd w:val="0"/>
        <w:ind w:firstLine="540"/>
        <w:jc w:val="both"/>
        <w:rPr>
          <w:rFonts w:ascii="PF Din Text Cond Pro Light" w:eastAsia="Calibri" w:hAnsi="PF Din Text Cond Pro Light" w:cs="PF Din Text Cond Pro Light"/>
          <w:sz w:val="36"/>
          <w:szCs w:val="36"/>
        </w:rPr>
      </w:pP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proofErr w:type="gramStart"/>
      <w:r w:rsidRPr="00A629D0">
        <w:rPr>
          <w:rFonts w:ascii="PF Din Text Cond Pro Light" w:eastAsia="Calibri" w:hAnsi="PF Din Text Cond Pro Light" w:cs="PF Din Text Cond Pro Light"/>
          <w:sz w:val="28"/>
          <w:szCs w:val="28"/>
        </w:rPr>
        <w:t xml:space="preserve">В соответствии с </w:t>
      </w:r>
      <w:hyperlink r:id="rId8" w:history="1">
        <w:r w:rsidRPr="00A629D0">
          <w:rPr>
            <w:rFonts w:ascii="PF Din Text Cond Pro Light" w:eastAsia="Calibri" w:hAnsi="PF Din Text Cond Pro Light" w:cs="PF Din Text Cond Pro Light"/>
            <w:sz w:val="28"/>
            <w:szCs w:val="28"/>
          </w:rPr>
          <w:t>пунктом 3.1 статьи 346.21</w:t>
        </w:r>
      </w:hyperlink>
      <w:r w:rsidRPr="00A629D0">
        <w:rPr>
          <w:rFonts w:ascii="PF Din Text Cond Pro Light" w:eastAsia="Calibri" w:hAnsi="PF Din Text Cond Pro Light" w:cs="PF Din Text Cond Pro Light"/>
          <w:sz w:val="28"/>
          <w:szCs w:val="28"/>
        </w:rPr>
        <w:t xml:space="preserve"> Налогового кодекса Российской Федерации (далее - Кодекс) индивидуальные предприниматели, применяющие упрощенную систему налогообложения с объектом налогообложения в виде доходов, не производящие выплат и иных вознаграждений физическим лицам, уменьшают сумму налога (авансовых платежей по налогу), исчисленную за налоговый (отчетный) период, на сумму уплаченных страховых взносов в Пенсионный фонд Российской Федерации и Федеральный фонд обязательного медицинского</w:t>
      </w:r>
      <w:proofErr w:type="gramEnd"/>
      <w:r w:rsidRPr="00A629D0">
        <w:rPr>
          <w:rFonts w:ascii="PF Din Text Cond Pro Light" w:eastAsia="Calibri" w:hAnsi="PF Din Text Cond Pro Light" w:cs="PF Din Text Cond Pro Light"/>
          <w:sz w:val="28"/>
          <w:szCs w:val="28"/>
        </w:rPr>
        <w:t xml:space="preserve"> страхования в фиксированном размере.</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proofErr w:type="gramStart"/>
      <w:r w:rsidRPr="00A629D0">
        <w:rPr>
          <w:rFonts w:ascii="PF Din Text Cond Pro Light" w:eastAsia="Calibri" w:hAnsi="PF Din Text Cond Pro Light" w:cs="PF Din Text Cond Pro Light"/>
          <w:sz w:val="28"/>
          <w:szCs w:val="28"/>
        </w:rPr>
        <w:t xml:space="preserve">Согласно </w:t>
      </w:r>
      <w:hyperlink r:id="rId9" w:history="1">
        <w:r w:rsidRPr="00A629D0">
          <w:rPr>
            <w:rFonts w:ascii="PF Din Text Cond Pro Light" w:eastAsia="Calibri" w:hAnsi="PF Din Text Cond Pro Light" w:cs="PF Din Text Cond Pro Light"/>
            <w:sz w:val="28"/>
            <w:szCs w:val="28"/>
          </w:rPr>
          <w:t>пункту 2.1 статьи 346.32</w:t>
        </w:r>
      </w:hyperlink>
      <w:r w:rsidRPr="00A629D0">
        <w:rPr>
          <w:rFonts w:ascii="PF Din Text Cond Pro Light" w:eastAsia="Calibri" w:hAnsi="PF Din Text Cond Pro Light" w:cs="PF Din Text Cond Pro Light"/>
          <w:sz w:val="28"/>
          <w:szCs w:val="28"/>
        </w:rPr>
        <w:t xml:space="preserve"> Кодекса индивидуальные предприниматели, применяющие систему налогообложения в виде единого налога на вмененный доход, не производящие выплаты и иные вознаграждения физическим лицам, также уменьшают сумму единого налога на вмененный доход, исчисленную за налоговый период,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roofErr w:type="gramEnd"/>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r w:rsidRPr="00A629D0">
        <w:rPr>
          <w:rFonts w:ascii="PF Din Text Cond Pro Light" w:eastAsia="Calibri" w:hAnsi="PF Din Text Cond Pro Light" w:cs="PF Din Text Cond Pro Light"/>
          <w:sz w:val="28"/>
          <w:szCs w:val="28"/>
        </w:rPr>
        <w:t>Указанные налогоплательщики, применяющие упрощенную систему налогообложения и систему налогообложения в виде единого налога на вмененный доход, вправе уменьшить сумму налога (авансовых платежей по налогу) на уплаченные страховые взносы без применения ограничения в виде 50 процентов от суммы данного налога.</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r w:rsidRPr="00A629D0">
        <w:rPr>
          <w:rFonts w:ascii="PF Din Text Cond Pro Light" w:eastAsia="Calibri" w:hAnsi="PF Din Text Cond Pro Light" w:cs="PF Din Text Cond Pro Light"/>
          <w:sz w:val="28"/>
          <w:szCs w:val="28"/>
        </w:rPr>
        <w:t xml:space="preserve">На основании </w:t>
      </w:r>
      <w:hyperlink r:id="rId10" w:history="1">
        <w:r w:rsidRPr="00A629D0">
          <w:rPr>
            <w:rFonts w:ascii="PF Din Text Cond Pro Light" w:eastAsia="Calibri" w:hAnsi="PF Din Text Cond Pro Light" w:cs="PF Din Text Cond Pro Light"/>
            <w:sz w:val="28"/>
            <w:szCs w:val="28"/>
          </w:rPr>
          <w:t>пункта 2 части 1 статьи 5</w:t>
        </w:r>
      </w:hyperlink>
      <w:r w:rsidRPr="00A629D0">
        <w:rPr>
          <w:rFonts w:ascii="PF Din Text Cond Pro Light" w:eastAsia="Calibri" w:hAnsi="PF Din Text Cond Pro Light" w:cs="PF Din Text Cond Pro Light"/>
          <w:sz w:val="28"/>
          <w:szCs w:val="28"/>
        </w:rPr>
        <w:t xml:space="preserve"> Закона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плательщиками страховых взносов являются индивидуальные предприниматели, не производящие выплаты и иные вознаграждения физическим лицам.</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hyperlink r:id="rId11" w:history="1">
        <w:proofErr w:type="gramStart"/>
        <w:r w:rsidRPr="00A629D0">
          <w:rPr>
            <w:rFonts w:ascii="PF Din Text Cond Pro Light" w:eastAsia="Calibri" w:hAnsi="PF Din Text Cond Pro Light" w:cs="PF Din Text Cond Pro Light"/>
            <w:sz w:val="28"/>
            <w:szCs w:val="28"/>
          </w:rPr>
          <w:t>Частью 1 статьи 14</w:t>
        </w:r>
      </w:hyperlink>
      <w:r w:rsidRPr="00A629D0">
        <w:rPr>
          <w:rFonts w:ascii="PF Din Text Cond Pro Light" w:eastAsia="Calibri" w:hAnsi="PF Din Text Cond Pro Light" w:cs="PF Din Text Cond Pro Light"/>
          <w:sz w:val="28"/>
          <w:szCs w:val="28"/>
        </w:rPr>
        <w:t xml:space="preserve"> Закона N 212-ФЗ предусмотрено, что плательщики страховых взносов, указанные в </w:t>
      </w:r>
      <w:hyperlink r:id="rId12" w:history="1">
        <w:r w:rsidRPr="00A629D0">
          <w:rPr>
            <w:rFonts w:ascii="PF Din Text Cond Pro Light" w:eastAsia="Calibri" w:hAnsi="PF Din Text Cond Pro Light" w:cs="PF Din Text Cond Pro Light"/>
            <w:sz w:val="28"/>
            <w:szCs w:val="28"/>
          </w:rPr>
          <w:t>пункте 2 части 1 статьи 5</w:t>
        </w:r>
      </w:hyperlink>
      <w:r w:rsidRPr="00A629D0">
        <w:rPr>
          <w:rFonts w:ascii="PF Din Text Cond Pro Light" w:eastAsia="Calibri" w:hAnsi="PF Din Text Cond Pro Light" w:cs="PF Din Text Cond Pro Light"/>
          <w:sz w:val="28"/>
          <w:szCs w:val="28"/>
        </w:rPr>
        <w:t xml:space="preserve"> Закона N 212-ФЗ, уплачивают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r:id="rId13" w:history="1">
        <w:r w:rsidRPr="00A629D0">
          <w:rPr>
            <w:rFonts w:ascii="PF Din Text Cond Pro Light" w:eastAsia="Calibri" w:hAnsi="PF Din Text Cond Pro Light" w:cs="PF Din Text Cond Pro Light"/>
            <w:sz w:val="28"/>
            <w:szCs w:val="28"/>
          </w:rPr>
          <w:t>частями 1.1</w:t>
        </w:r>
      </w:hyperlink>
      <w:r w:rsidRPr="00A629D0">
        <w:rPr>
          <w:rFonts w:ascii="PF Din Text Cond Pro Light" w:eastAsia="Calibri" w:hAnsi="PF Din Text Cond Pro Light" w:cs="PF Din Text Cond Pro Light"/>
          <w:sz w:val="28"/>
          <w:szCs w:val="28"/>
        </w:rPr>
        <w:t xml:space="preserve"> и </w:t>
      </w:r>
      <w:hyperlink r:id="rId14" w:history="1">
        <w:r w:rsidRPr="00A629D0">
          <w:rPr>
            <w:rFonts w:ascii="PF Din Text Cond Pro Light" w:eastAsia="Calibri" w:hAnsi="PF Din Text Cond Pro Light" w:cs="PF Din Text Cond Pro Light"/>
            <w:sz w:val="28"/>
            <w:szCs w:val="28"/>
          </w:rPr>
          <w:t>1.2 настоящей статьи</w:t>
        </w:r>
      </w:hyperlink>
      <w:r w:rsidRPr="00A629D0">
        <w:rPr>
          <w:rFonts w:ascii="PF Din Text Cond Pro Light" w:eastAsia="Calibri" w:hAnsi="PF Din Text Cond Pro Light" w:cs="PF Din Text Cond Pro Light"/>
          <w:sz w:val="28"/>
          <w:szCs w:val="28"/>
        </w:rPr>
        <w:t xml:space="preserve"> Закона N 212-ФЗ.</w:t>
      </w:r>
      <w:proofErr w:type="gramEnd"/>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r w:rsidRPr="00A629D0">
        <w:rPr>
          <w:rFonts w:ascii="PF Din Text Cond Pro Light" w:eastAsia="Calibri" w:hAnsi="PF Din Text Cond Pro Light" w:cs="PF Din Text Cond Pro Light"/>
          <w:sz w:val="28"/>
          <w:szCs w:val="28"/>
        </w:rPr>
        <w:t xml:space="preserve">В соответствии с </w:t>
      </w:r>
      <w:hyperlink r:id="rId15" w:history="1">
        <w:r w:rsidRPr="00A629D0">
          <w:rPr>
            <w:rFonts w:ascii="PF Din Text Cond Pro Light" w:eastAsia="Calibri" w:hAnsi="PF Din Text Cond Pro Light" w:cs="PF Din Text Cond Pro Light"/>
            <w:sz w:val="28"/>
            <w:szCs w:val="28"/>
          </w:rPr>
          <w:t>частью 1.1 статьи 14</w:t>
        </w:r>
      </w:hyperlink>
      <w:r w:rsidRPr="00A629D0">
        <w:rPr>
          <w:rFonts w:ascii="PF Din Text Cond Pro Light" w:eastAsia="Calibri" w:hAnsi="PF Din Text Cond Pro Light" w:cs="PF Din Text Cond Pro Light"/>
          <w:sz w:val="28"/>
          <w:szCs w:val="28"/>
        </w:rPr>
        <w:t xml:space="preserve"> Закона N 212-ФЗ размер страхового взноса по обязательному пенсионному страхованию определяется в следующем порядке, если иное не предусмотрено данной статьей Закона N 212-ФЗ:</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proofErr w:type="gramStart"/>
      <w:r w:rsidRPr="00A629D0">
        <w:rPr>
          <w:rFonts w:ascii="PF Din Text Cond Pro Light" w:eastAsia="Calibri" w:hAnsi="PF Din Text Cond Pro Light" w:cs="PF Din Text Cond Pro Light"/>
          <w:sz w:val="28"/>
          <w:szCs w:val="28"/>
        </w:rPr>
        <w:t xml:space="preserve">1) в случае, если величина дохода плательщика страховых взносов за расчетный период не превышает 300 000 рублей, - в фиксированном размере, определяемом как произведение </w:t>
      </w:r>
      <w:r w:rsidRPr="00A629D0">
        <w:rPr>
          <w:rFonts w:ascii="PF Din Text Cond Pro Light" w:eastAsia="Calibri" w:hAnsi="PF Din Text Cond Pro Light" w:cs="PF Din Text Cond Pro Light"/>
          <w:sz w:val="28"/>
          <w:szCs w:val="28"/>
        </w:rPr>
        <w:lastRenderedPageBreak/>
        <w:t xml:space="preserve">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16" w:history="1">
        <w:r w:rsidRPr="00A629D0">
          <w:rPr>
            <w:rFonts w:ascii="PF Din Text Cond Pro Light" w:eastAsia="Calibri" w:hAnsi="PF Din Text Cond Pro Light" w:cs="PF Din Text Cond Pro Light"/>
            <w:sz w:val="28"/>
            <w:szCs w:val="28"/>
          </w:rPr>
          <w:t>пунктом 1 части 2 статьи 12</w:t>
        </w:r>
      </w:hyperlink>
      <w:r w:rsidRPr="00A629D0">
        <w:rPr>
          <w:rFonts w:ascii="PF Din Text Cond Pro Light" w:eastAsia="Calibri" w:hAnsi="PF Din Text Cond Pro Light" w:cs="PF Din Text Cond Pro Light"/>
          <w:sz w:val="28"/>
          <w:szCs w:val="28"/>
        </w:rPr>
        <w:t xml:space="preserve"> Закона N 212-ФЗ, увеличенное в</w:t>
      </w:r>
      <w:proofErr w:type="gramEnd"/>
      <w:r w:rsidRPr="00A629D0">
        <w:rPr>
          <w:rFonts w:ascii="PF Din Text Cond Pro Light" w:eastAsia="Calibri" w:hAnsi="PF Din Text Cond Pro Light" w:cs="PF Din Text Cond Pro Light"/>
          <w:sz w:val="28"/>
          <w:szCs w:val="28"/>
        </w:rPr>
        <w:t xml:space="preserve"> 12 раз;</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proofErr w:type="gramStart"/>
      <w:r w:rsidRPr="00A629D0">
        <w:rPr>
          <w:rFonts w:ascii="PF Din Text Cond Pro Light" w:eastAsia="Calibri" w:hAnsi="PF Din Text Cond Pro Light" w:cs="PF Din Text Cond Pro Light"/>
          <w:sz w:val="28"/>
          <w:szCs w:val="28"/>
        </w:rPr>
        <w:t xml:space="preserve">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17" w:history="1">
        <w:r w:rsidRPr="00A629D0">
          <w:rPr>
            <w:rFonts w:ascii="PF Din Text Cond Pro Light" w:eastAsia="Calibri" w:hAnsi="PF Din Text Cond Pro Light" w:cs="PF Din Text Cond Pro Light"/>
            <w:sz w:val="28"/>
            <w:szCs w:val="28"/>
          </w:rPr>
          <w:t>пунктом 1 части 2 статьи 12</w:t>
        </w:r>
      </w:hyperlink>
      <w:r w:rsidRPr="00A629D0">
        <w:rPr>
          <w:rFonts w:ascii="PF Din Text Cond Pro Light" w:eastAsia="Calibri" w:hAnsi="PF Din Text Cond Pro Light" w:cs="PF Din Text Cond Pro Light"/>
          <w:sz w:val="28"/>
          <w:szCs w:val="28"/>
        </w:rPr>
        <w:t xml:space="preserve"> Закона N 212-ФЗ, увеличенного в 12</w:t>
      </w:r>
      <w:proofErr w:type="gramEnd"/>
      <w:r w:rsidRPr="00A629D0">
        <w:rPr>
          <w:rFonts w:ascii="PF Din Text Cond Pro Light" w:eastAsia="Calibri" w:hAnsi="PF Din Text Cond Pro Light" w:cs="PF Din Text Cond Pro Light"/>
          <w:sz w:val="28"/>
          <w:szCs w:val="28"/>
        </w:rPr>
        <w:t xml:space="preserve"> раз, плюс 1,0 процента (1%) от суммы дохода плательщика страховых взносов, превышающего 300 000 рублей за расчетный период.</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proofErr w:type="gramStart"/>
      <w:r w:rsidRPr="00A629D0">
        <w:rPr>
          <w:rFonts w:ascii="PF Din Text Cond Pro Light" w:eastAsia="Calibri" w:hAnsi="PF Din Text Cond Pro Light" w:cs="PF Din Text Cond Pro Light"/>
          <w:sz w:val="28"/>
          <w:szCs w:val="28"/>
        </w:rPr>
        <w:t xml:space="preserve">Но при этом установлено, что максимальный размер взноса не может превышать размер, определяемый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18" w:history="1">
        <w:r w:rsidRPr="00A629D0">
          <w:rPr>
            <w:rFonts w:ascii="PF Din Text Cond Pro Light" w:eastAsia="Calibri" w:hAnsi="PF Din Text Cond Pro Light" w:cs="PF Din Text Cond Pro Light"/>
            <w:sz w:val="28"/>
            <w:szCs w:val="28"/>
          </w:rPr>
          <w:t>пунктом 1 части 2 статьи 12</w:t>
        </w:r>
      </w:hyperlink>
      <w:r w:rsidRPr="00A629D0">
        <w:rPr>
          <w:rFonts w:ascii="PF Din Text Cond Pro Light" w:eastAsia="Calibri" w:hAnsi="PF Din Text Cond Pro Light" w:cs="PF Din Text Cond Pro Light"/>
          <w:sz w:val="28"/>
          <w:szCs w:val="28"/>
        </w:rPr>
        <w:t xml:space="preserve"> Закона N 212-ФЗ, увеличенное в 12 раз.</w:t>
      </w:r>
      <w:proofErr w:type="gramEnd"/>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r w:rsidRPr="00A629D0">
        <w:rPr>
          <w:rFonts w:ascii="PF Din Text Cond Pro Light" w:eastAsia="Calibri" w:hAnsi="PF Din Text Cond Pro Light" w:cs="PF Din Text Cond Pro Light"/>
          <w:sz w:val="28"/>
          <w:szCs w:val="28"/>
        </w:rPr>
        <w:t>Таким образом, в обоих случаях установлен фиксированный размер минимальной и максимальной сумм страхового взноса.</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r w:rsidRPr="00A629D0">
        <w:rPr>
          <w:rFonts w:ascii="PF Din Text Cond Pro Light" w:eastAsia="Calibri" w:hAnsi="PF Din Text Cond Pro Light" w:cs="PF Din Text Cond Pro Light"/>
          <w:sz w:val="28"/>
          <w:szCs w:val="28"/>
        </w:rPr>
        <w:t xml:space="preserve">Учитывая изложенное, полагаем, что сумма страховых взносов, уплаченных в соответствии с </w:t>
      </w:r>
      <w:hyperlink r:id="rId19" w:history="1">
        <w:r w:rsidRPr="00A629D0">
          <w:rPr>
            <w:rFonts w:ascii="PF Din Text Cond Pro Light" w:eastAsia="Calibri" w:hAnsi="PF Din Text Cond Pro Light" w:cs="PF Din Text Cond Pro Light"/>
            <w:sz w:val="28"/>
            <w:szCs w:val="28"/>
          </w:rPr>
          <w:t>частью 1.1 статьи 14</w:t>
        </w:r>
      </w:hyperlink>
      <w:r w:rsidRPr="00A629D0">
        <w:rPr>
          <w:rFonts w:ascii="PF Din Text Cond Pro Light" w:eastAsia="Calibri" w:hAnsi="PF Din Text Cond Pro Light" w:cs="PF Din Text Cond Pro Light"/>
          <w:sz w:val="28"/>
          <w:szCs w:val="28"/>
        </w:rPr>
        <w:t xml:space="preserve"> Закона N 212-ФЗ, в целях применения упрощенной системы налогообложения и системы налогообложения в виде единого налога на вмененный доход для отдельных видов деятельности может считаться фиксированным размером страховых взносов. В связи с этим индивидуальные предприниматели, не производящие выплаты и иные вознаграждения физическим лицам, вправе уменьшать сумму налога, уплачиваемого в связи с применением упрощенной системы налогообложения, и сумму единого налога на вмененный доход на сумму страховых взносов, уплаченных в указанном порядке.</w:t>
      </w:r>
    </w:p>
    <w:p w:rsidR="00A629D0" w:rsidRPr="00A629D0" w:rsidRDefault="00A629D0" w:rsidP="00A629D0">
      <w:pPr>
        <w:autoSpaceDE w:val="0"/>
        <w:autoSpaceDN w:val="0"/>
        <w:adjustRightInd w:val="0"/>
        <w:ind w:firstLine="540"/>
        <w:jc w:val="both"/>
        <w:rPr>
          <w:rFonts w:ascii="PF Din Text Cond Pro Light" w:eastAsia="Calibri" w:hAnsi="PF Din Text Cond Pro Light" w:cs="PF Din Text Cond Pro Light"/>
          <w:sz w:val="28"/>
          <w:szCs w:val="28"/>
        </w:rPr>
      </w:pPr>
      <w:r w:rsidRPr="00A629D0">
        <w:rPr>
          <w:rFonts w:ascii="PF Din Text Cond Pro Light" w:eastAsia="Calibri" w:hAnsi="PF Din Text Cond Pro Light" w:cs="PF Din Text Cond Pro Light"/>
          <w:sz w:val="28"/>
          <w:szCs w:val="28"/>
        </w:rPr>
        <w:t xml:space="preserve">В связи с </w:t>
      </w:r>
      <w:proofErr w:type="gramStart"/>
      <w:r w:rsidRPr="00A629D0">
        <w:rPr>
          <w:rFonts w:ascii="PF Din Text Cond Pro Light" w:eastAsia="Calibri" w:hAnsi="PF Din Text Cond Pro Light" w:cs="PF Din Text Cond Pro Light"/>
          <w:sz w:val="28"/>
          <w:szCs w:val="28"/>
        </w:rPr>
        <w:t>изложенным</w:t>
      </w:r>
      <w:proofErr w:type="gramEnd"/>
      <w:r w:rsidRPr="00A629D0">
        <w:rPr>
          <w:rFonts w:ascii="PF Din Text Cond Pro Light" w:eastAsia="Calibri" w:hAnsi="PF Din Text Cond Pro Light" w:cs="PF Din Text Cond Pro Light"/>
          <w:sz w:val="28"/>
          <w:szCs w:val="28"/>
        </w:rPr>
        <w:t xml:space="preserve">, </w:t>
      </w:r>
      <w:hyperlink r:id="rId20" w:history="1">
        <w:r w:rsidRPr="00A629D0">
          <w:rPr>
            <w:rFonts w:ascii="PF Din Text Cond Pro Light" w:eastAsia="Calibri" w:hAnsi="PF Din Text Cond Pro Light" w:cs="PF Din Text Cond Pro Light"/>
            <w:sz w:val="28"/>
            <w:szCs w:val="28"/>
          </w:rPr>
          <w:t>письмо</w:t>
        </w:r>
      </w:hyperlink>
      <w:r w:rsidRPr="00A629D0">
        <w:rPr>
          <w:rFonts w:ascii="PF Din Text Cond Pro Light" w:eastAsia="Calibri" w:hAnsi="PF Din Text Cond Pro Light" w:cs="PF Din Text Cond Pro Light"/>
          <w:sz w:val="28"/>
          <w:szCs w:val="28"/>
        </w:rPr>
        <w:t xml:space="preserve"> Департамента налоговой и таможенной политики Минфина России от 06.10.2015 N 03-11-09/57011</w:t>
      </w:r>
      <w:r w:rsidR="00E940CA">
        <w:rPr>
          <w:rFonts w:ascii="PF Din Text Cond Pro Light" w:eastAsia="Calibri" w:hAnsi="PF Din Text Cond Pro Light" w:cs="PF Din Text Cond Pro Light"/>
          <w:sz w:val="28"/>
          <w:szCs w:val="28"/>
        </w:rPr>
        <w:t xml:space="preserve"> </w:t>
      </w:r>
      <w:r w:rsidRPr="00A629D0">
        <w:rPr>
          <w:rFonts w:ascii="PF Din Text Cond Pro Light" w:eastAsia="Calibri" w:hAnsi="PF Din Text Cond Pro Light" w:cs="PF Din Text Cond Pro Light"/>
          <w:sz w:val="28"/>
          <w:szCs w:val="28"/>
        </w:rPr>
        <w:t>отзывается.</w:t>
      </w:r>
    </w:p>
    <w:p w:rsidR="0082386E" w:rsidRDefault="0082386E" w:rsidP="0082386E"/>
    <w:p w:rsidR="00A629D0" w:rsidRPr="00A629D0" w:rsidRDefault="00A629D0" w:rsidP="00A629D0">
      <w:pPr>
        <w:autoSpaceDE w:val="0"/>
        <w:autoSpaceDN w:val="0"/>
        <w:adjustRightInd w:val="0"/>
        <w:rPr>
          <w:rFonts w:ascii="PF Din Text Cond Pro Light" w:eastAsia="Calibri" w:hAnsi="PF Din Text Cond Pro Light" w:cs="PF Din Text Cond Pro Light"/>
          <w:b/>
          <w:bCs/>
          <w:sz w:val="28"/>
          <w:szCs w:val="28"/>
        </w:rPr>
      </w:pPr>
      <w:r w:rsidRPr="00A629D0">
        <w:rPr>
          <w:rFonts w:ascii="PF Din Text Cond Pro Light" w:eastAsia="Calibri" w:hAnsi="PF Din Text Cond Pro Light" w:cs="PF Din Text Cond Pro Light"/>
          <w:b/>
          <w:bCs/>
          <w:sz w:val="28"/>
          <w:szCs w:val="28"/>
        </w:rPr>
        <w:t xml:space="preserve">ПИСЬМО </w:t>
      </w:r>
      <w:r>
        <w:rPr>
          <w:rFonts w:ascii="PF Din Text Cond Pro Light" w:eastAsia="Calibri" w:hAnsi="PF Din Text Cond Pro Light" w:cs="PF Din Text Cond Pro Light"/>
          <w:b/>
          <w:bCs/>
          <w:sz w:val="28"/>
          <w:szCs w:val="28"/>
        </w:rPr>
        <w:t xml:space="preserve"> </w:t>
      </w:r>
      <w:r w:rsidRPr="00A629D0">
        <w:rPr>
          <w:rFonts w:ascii="PF Din Text Cond Pro Light" w:eastAsia="Calibri" w:hAnsi="PF Din Text Cond Pro Light" w:cs="PF Din Text Cond Pro Light"/>
          <w:b/>
          <w:bCs/>
          <w:sz w:val="28"/>
          <w:szCs w:val="28"/>
        </w:rPr>
        <w:t>МИНФИНА РОССИЙСКОЙ ФЕДЕРАЦИИ</w:t>
      </w:r>
      <w:r>
        <w:rPr>
          <w:rFonts w:ascii="PF Din Text Cond Pro Light" w:eastAsia="Calibri" w:hAnsi="PF Din Text Cond Pro Light" w:cs="PF Din Text Cond Pro Light"/>
          <w:b/>
          <w:bCs/>
          <w:sz w:val="28"/>
          <w:szCs w:val="28"/>
        </w:rPr>
        <w:t xml:space="preserve"> </w:t>
      </w:r>
      <w:r w:rsidRPr="00A629D0">
        <w:rPr>
          <w:rFonts w:ascii="PF Din Text Cond Pro Light" w:eastAsia="Calibri" w:hAnsi="PF Din Text Cond Pro Light" w:cs="PF Din Text Cond Pro Light"/>
          <w:b/>
          <w:bCs/>
          <w:sz w:val="28"/>
          <w:szCs w:val="28"/>
        </w:rPr>
        <w:t>ПИСЬМО</w:t>
      </w:r>
      <w:r>
        <w:rPr>
          <w:rFonts w:ascii="PF Din Text Cond Pro Light" w:eastAsia="Calibri" w:hAnsi="PF Din Text Cond Pro Light" w:cs="PF Din Text Cond Pro Light"/>
          <w:b/>
          <w:bCs/>
          <w:sz w:val="28"/>
          <w:szCs w:val="28"/>
        </w:rPr>
        <w:t xml:space="preserve"> </w:t>
      </w:r>
      <w:r w:rsidRPr="00A629D0">
        <w:rPr>
          <w:rFonts w:ascii="PF Din Text Cond Pro Light" w:eastAsia="Calibri" w:hAnsi="PF Din Text Cond Pro Light" w:cs="PF Din Text Cond Pro Light"/>
          <w:b/>
          <w:bCs/>
          <w:sz w:val="28"/>
          <w:szCs w:val="28"/>
        </w:rPr>
        <w:t>от 7 декабря 2015 г. N 03-11-09/71357</w:t>
      </w:r>
    </w:p>
    <w:p w:rsidR="0082386E" w:rsidRPr="00294F75" w:rsidRDefault="0082386E" w:rsidP="00294F75">
      <w:pPr>
        <w:autoSpaceDE w:val="0"/>
        <w:autoSpaceDN w:val="0"/>
        <w:adjustRightInd w:val="0"/>
        <w:ind w:firstLine="540"/>
        <w:jc w:val="center"/>
        <w:rPr>
          <w:rFonts w:ascii="PF Din Text Cond Pro Light" w:eastAsia="Calibri" w:hAnsi="PF Din Text Cond Pro Light" w:cs="PF Din Text Cond Pro Light"/>
          <w:color w:val="0070C0"/>
          <w:sz w:val="36"/>
          <w:szCs w:val="36"/>
        </w:rPr>
      </w:pPr>
    </w:p>
    <w:sectPr w:rsidR="0082386E" w:rsidRPr="00294F75" w:rsidSect="00546A8B">
      <w:headerReference w:type="default" r:id="rId21"/>
      <w:footerReference w:type="default" r:id="rId22"/>
      <w:pgSz w:w="11909" w:h="16834" w:code="9"/>
      <w:pgMar w:top="1979" w:right="427"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EF" w:rsidRDefault="00BC02EF">
      <w:r>
        <w:separator/>
      </w:r>
    </w:p>
  </w:endnote>
  <w:endnote w:type="continuationSeparator" w:id="0">
    <w:p w:rsidR="00BC02EF" w:rsidRDefault="00BC0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Cond Pro Light">
    <w:panose1 w:val="02000000000000000000"/>
    <w:charset w:val="CC"/>
    <w:family w:val="auto"/>
    <w:pitch w:val="variable"/>
    <w:sig w:usb0="A00002BF" w:usb1="5000E0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Din Text Cond Pro">
    <w:panose1 w:val="02000000000000000000"/>
    <w:charset w:val="CC"/>
    <w:family w:val="auto"/>
    <w:pitch w:val="variable"/>
    <w:sig w:usb0="A00002BF" w:usb1="5000E0FB" w:usb2="00000000" w:usb3="00000000" w:csb0="0000009F" w:csb1="00000000"/>
  </w:font>
  <w:font w:name="PF Din Text Comp Pro Medium">
    <w:altName w:val="Candara"/>
    <w:charset w:val="CC"/>
    <w:family w:val="auto"/>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9857"/>
    </w:tblGrid>
    <w:tr w:rsidR="00BC02EF" w:rsidTr="000C087A">
      <w:trPr>
        <w:trHeight w:val="530"/>
      </w:trPr>
      <w:tc>
        <w:tcPr>
          <w:tcW w:w="9857" w:type="dxa"/>
          <w:shd w:val="clear" w:color="auto" w:fill="0066B3"/>
          <w:vAlign w:val="center"/>
        </w:tcPr>
        <w:p w:rsidR="00BC02EF" w:rsidRPr="000C087A" w:rsidRDefault="00BC02EF" w:rsidP="00A629D0">
          <w:pPr>
            <w:pStyle w:val="a8"/>
            <w:jc w:val="center"/>
            <w:rPr>
              <w:rFonts w:ascii="PF Din Text Cond Pro Light" w:hAnsi="PF Din Text Cond Pro Light"/>
              <w:b/>
              <w:color w:val="FFFFFF"/>
            </w:rPr>
          </w:pPr>
          <w:r>
            <w:rPr>
              <w:rFonts w:ascii="PF Din Text Cond Pro Light" w:hAnsi="PF Din Text Cond Pro Light"/>
              <w:b/>
              <w:color w:val="FFFFFF"/>
            </w:rPr>
            <w:t>Контакт</w:t>
          </w:r>
          <w:r w:rsidR="00A629D0">
            <w:rPr>
              <w:rFonts w:ascii="PF Din Text Cond Pro Light" w:hAnsi="PF Din Text Cond Pro Light"/>
              <w:b/>
              <w:color w:val="FFFFFF"/>
            </w:rPr>
            <w:t xml:space="preserve"> центр</w:t>
          </w:r>
          <w:r>
            <w:rPr>
              <w:rFonts w:ascii="PF Din Text Cond Pro Light" w:hAnsi="PF Din Text Cond Pro Light"/>
              <w:b/>
              <w:color w:val="FFFFFF"/>
            </w:rPr>
            <w:t>: 8</w:t>
          </w:r>
          <w:r w:rsidR="00A629D0">
            <w:rPr>
              <w:rFonts w:ascii="PF Din Text Cond Pro Light" w:hAnsi="PF Din Text Cond Pro Light"/>
              <w:b/>
              <w:color w:val="FFFFFF"/>
            </w:rPr>
            <w:t>-</w:t>
          </w:r>
          <w:r w:rsidR="0082386E">
            <w:rPr>
              <w:rFonts w:ascii="PF Din Text Cond Pro Light" w:hAnsi="PF Din Text Cond Pro Light"/>
              <w:b/>
              <w:color w:val="FFFFFF"/>
            </w:rPr>
            <w:t>8</w:t>
          </w:r>
          <w:r w:rsidR="00A629D0">
            <w:rPr>
              <w:rFonts w:ascii="PF Din Text Cond Pro Light" w:hAnsi="PF Din Text Cond Pro Light"/>
              <w:b/>
              <w:color w:val="FFFFFF"/>
            </w:rPr>
            <w:t>00-222-2222</w:t>
          </w:r>
        </w:p>
      </w:tc>
    </w:tr>
  </w:tbl>
  <w:p w:rsidR="00BC02EF" w:rsidRDefault="00BC02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EF" w:rsidRDefault="00BC02EF">
      <w:r>
        <w:separator/>
      </w:r>
    </w:p>
  </w:footnote>
  <w:footnote w:type="continuationSeparator" w:id="0">
    <w:p w:rsidR="00BC02EF" w:rsidRDefault="00BC0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EF" w:rsidRDefault="00BC02EF" w:rsidP="006A7EB9">
    <w:pPr>
      <w:pStyle w:val="1"/>
      <w:spacing w:before="0" w:after="0"/>
      <w:ind w:left="1620"/>
      <w:rPr>
        <w:rFonts w:ascii="PF Din Text Comp Pro Medium" w:hAnsi="PF Din Text Comp Pro Medium"/>
        <w:b w:val="0"/>
        <w:noProof/>
        <w:color w:val="595959"/>
        <w:sz w:val="24"/>
        <w:szCs w:val="24"/>
      </w:rPr>
    </w:pPr>
    <w:r>
      <w:rPr>
        <w:rFonts w:ascii="PF Din Text Comp Pro Medium" w:hAnsi="PF Din Text Comp Pro Medium"/>
        <w:b w:val="0"/>
        <w:noProof/>
        <w:color w:val="595959"/>
        <w:sz w:val="24"/>
        <w:szCs w:val="24"/>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19050" t="0" r="0" b="0"/>
          <wp:wrapNone/>
          <wp:docPr id="7"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srcRect l="14365" r="13556"/>
                  <a:stretch>
                    <a:fillRect/>
                  </a:stretch>
                </pic:blipFill>
                <pic:spPr bwMode="auto">
                  <a:xfrm>
                    <a:off x="0" y="0"/>
                    <a:ext cx="990600" cy="922020"/>
                  </a:xfrm>
                  <a:prstGeom prst="rect">
                    <a:avLst/>
                  </a:prstGeom>
                  <a:noFill/>
                  <a:ln w="9525">
                    <a:noFill/>
                    <a:miter lim="800000"/>
                    <a:headEnd/>
                    <a:tailEnd/>
                  </a:ln>
                </pic:spPr>
              </pic:pic>
            </a:graphicData>
          </a:graphic>
        </wp:anchor>
      </w:drawing>
    </w:r>
    <w:r w:rsidRPr="00B00AC5">
      <w:rPr>
        <w:rFonts w:ascii="PF Din Text Comp Pro Medium" w:hAnsi="PF Din Text Comp Pro Medium"/>
        <w:b w:val="0"/>
        <w:noProof/>
        <w:color w:val="595959"/>
        <w:sz w:val="24"/>
        <w:szCs w:val="24"/>
      </w:rPr>
      <w:t xml:space="preserve">МЕЖРАЙОННАЯ ИНСПЕКЦИЯ </w:t>
    </w:r>
  </w:p>
  <w:p w:rsidR="00BC02EF" w:rsidRDefault="00BC02EF" w:rsidP="006A7EB9">
    <w:pPr>
      <w:pStyle w:val="1"/>
      <w:spacing w:before="0" w:after="0"/>
      <w:ind w:left="1620"/>
      <w:rPr>
        <w:rFonts w:ascii="PF Din Text Comp Pro Medium" w:hAnsi="PF Din Text Comp Pro Medium"/>
        <w:b w:val="0"/>
        <w:noProof/>
        <w:color w:val="595959"/>
        <w:sz w:val="24"/>
        <w:szCs w:val="24"/>
      </w:rPr>
    </w:pPr>
    <w:r w:rsidRPr="00B00AC5">
      <w:rPr>
        <w:rFonts w:ascii="PF Din Text Comp Pro Medium" w:hAnsi="PF Din Text Comp Pro Medium"/>
        <w:b w:val="0"/>
        <w:noProof/>
        <w:color w:val="595959"/>
        <w:sz w:val="24"/>
        <w:szCs w:val="24"/>
      </w:rPr>
      <w:t xml:space="preserve">ФЕДЕРАЛЬНОЙ НАЛОГОВОЙ СЛУЖБЫ </w:t>
    </w:r>
  </w:p>
  <w:p w:rsidR="00BC02EF" w:rsidRPr="007A28BB" w:rsidRDefault="00BC02EF" w:rsidP="006A7EB9">
    <w:pPr>
      <w:pStyle w:val="1"/>
      <w:spacing w:before="0" w:after="0"/>
      <w:ind w:left="1620"/>
      <w:rPr>
        <w:rFonts w:ascii="PF Din Text Comp Pro Medium" w:hAnsi="PF Din Text Comp Pro Medium"/>
        <w:b w:val="0"/>
        <w:color w:val="595959"/>
        <w:sz w:val="24"/>
        <w:szCs w:val="24"/>
      </w:rPr>
    </w:pPr>
    <w:r>
      <w:rPr>
        <w:rFonts w:ascii="PF Din Text Comp Pro Medium" w:hAnsi="PF Din Text Comp Pro Medium"/>
        <w:b w:val="0"/>
        <w:noProof/>
        <w:color w:val="595959"/>
        <w:sz w:val="24"/>
        <w:szCs w:val="24"/>
      </w:rPr>
      <w:t>№22</w:t>
    </w:r>
    <w:r w:rsidRPr="00B00AC5">
      <w:rPr>
        <w:rFonts w:ascii="PF Din Text Comp Pro Medium" w:hAnsi="PF Din Text Comp Pro Medium"/>
        <w:b w:val="0"/>
        <w:noProof/>
        <w:color w:val="595959"/>
        <w:sz w:val="24"/>
        <w:szCs w:val="24"/>
      </w:rPr>
      <w:t xml:space="preserve"> </w:t>
    </w:r>
    <w:r w:rsidRPr="00D31F31">
      <w:rPr>
        <w:rFonts w:ascii="PF Din Text Comp Pro Medium" w:hAnsi="PF Din Text Comp Pro Medium"/>
        <w:b w:val="0"/>
        <w:color w:val="5F5F5F"/>
        <w:sz w:val="24"/>
        <w:szCs w:val="24"/>
      </w:rPr>
      <w:t>ПО ЧЕЛЯБИНСКОЙ ОБЛАСТИ</w:t>
    </w:r>
  </w:p>
  <w:p w:rsidR="00BC02EF" w:rsidRDefault="00BC02EF" w:rsidP="00FE10DE">
    <w:pPr>
      <w:pStyle w:val="a7"/>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E3"/>
    <w:multiLevelType w:val="hybridMultilevel"/>
    <w:tmpl w:val="97C4E1F0"/>
    <w:lvl w:ilvl="0" w:tplc="5DEC86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5">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9">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2B22B3"/>
    <w:multiLevelType w:val="hybridMultilevel"/>
    <w:tmpl w:val="7C10D3D4"/>
    <w:lvl w:ilvl="0" w:tplc="F78662D2">
      <w:numFmt w:val="bullet"/>
      <w:lvlText w:val="-"/>
      <w:lvlJc w:val="left"/>
      <w:pPr>
        <w:ind w:left="1128" w:hanging="360"/>
      </w:pPr>
      <w:rPr>
        <w:rFonts w:ascii="PF Din Text Cond Pro Light" w:eastAsia="Times New Roman" w:hAnsi="PF Din Text Cond Pro Light"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3">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8"/>
  </w:num>
  <w:num w:numId="2">
    <w:abstractNumId w:val="4"/>
  </w:num>
  <w:num w:numId="3">
    <w:abstractNumId w:val="6"/>
  </w:num>
  <w:num w:numId="4">
    <w:abstractNumId w:val="18"/>
  </w:num>
  <w:num w:numId="5">
    <w:abstractNumId w:val="19"/>
  </w:num>
  <w:num w:numId="6">
    <w:abstractNumId w:val="13"/>
  </w:num>
  <w:num w:numId="7">
    <w:abstractNumId w:val="1"/>
  </w:num>
  <w:num w:numId="8">
    <w:abstractNumId w:val="9"/>
  </w:num>
  <w:num w:numId="9">
    <w:abstractNumId w:val="20"/>
  </w:num>
  <w:num w:numId="10">
    <w:abstractNumId w:val="24"/>
  </w:num>
  <w:num w:numId="11">
    <w:abstractNumId w:val="23"/>
  </w:num>
  <w:num w:numId="12">
    <w:abstractNumId w:val="16"/>
  </w:num>
  <w:num w:numId="13">
    <w:abstractNumId w:val="11"/>
  </w:num>
  <w:num w:numId="14">
    <w:abstractNumId w:val="10"/>
  </w:num>
  <w:num w:numId="15">
    <w:abstractNumId w:val="2"/>
  </w:num>
  <w:num w:numId="16">
    <w:abstractNumId w:val="21"/>
  </w:num>
  <w:num w:numId="17">
    <w:abstractNumId w:val="7"/>
  </w:num>
  <w:num w:numId="18">
    <w:abstractNumId w:val="22"/>
  </w:num>
  <w:num w:numId="19">
    <w:abstractNumId w:val="17"/>
  </w:num>
  <w:num w:numId="20">
    <w:abstractNumId w:val="15"/>
  </w:num>
  <w:num w:numId="21">
    <w:abstractNumId w:val="5"/>
  </w:num>
  <w:num w:numId="22">
    <w:abstractNumId w:val="14"/>
  </w:num>
  <w:num w:numId="23">
    <w:abstractNumId w:val="3"/>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4753">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10F23"/>
    <w:rsid w:val="00025677"/>
    <w:rsid w:val="000343D3"/>
    <w:rsid w:val="00045EB6"/>
    <w:rsid w:val="000527D9"/>
    <w:rsid w:val="00054494"/>
    <w:rsid w:val="00062433"/>
    <w:rsid w:val="000839CF"/>
    <w:rsid w:val="000876F7"/>
    <w:rsid w:val="00094FC4"/>
    <w:rsid w:val="000C087A"/>
    <w:rsid w:val="000D1AF2"/>
    <w:rsid w:val="000F6FA7"/>
    <w:rsid w:val="00104086"/>
    <w:rsid w:val="0010766C"/>
    <w:rsid w:val="00134EFF"/>
    <w:rsid w:val="001A7FE2"/>
    <w:rsid w:val="001B39B1"/>
    <w:rsid w:val="00204284"/>
    <w:rsid w:val="00206ED2"/>
    <w:rsid w:val="00215218"/>
    <w:rsid w:val="00240988"/>
    <w:rsid w:val="00262160"/>
    <w:rsid w:val="0026330C"/>
    <w:rsid w:val="00272ACA"/>
    <w:rsid w:val="00294F75"/>
    <w:rsid w:val="002B0566"/>
    <w:rsid w:val="002F13D8"/>
    <w:rsid w:val="00302E73"/>
    <w:rsid w:val="00314FF4"/>
    <w:rsid w:val="0033320B"/>
    <w:rsid w:val="00336279"/>
    <w:rsid w:val="0035083B"/>
    <w:rsid w:val="0035366F"/>
    <w:rsid w:val="003642A3"/>
    <w:rsid w:val="00371906"/>
    <w:rsid w:val="00390C75"/>
    <w:rsid w:val="003B1038"/>
    <w:rsid w:val="003D17D5"/>
    <w:rsid w:val="003D30EA"/>
    <w:rsid w:val="003D389B"/>
    <w:rsid w:val="004002A7"/>
    <w:rsid w:val="00407A4E"/>
    <w:rsid w:val="004140B8"/>
    <w:rsid w:val="00443AD2"/>
    <w:rsid w:val="00446F3E"/>
    <w:rsid w:val="00451008"/>
    <w:rsid w:val="0048497D"/>
    <w:rsid w:val="004B5781"/>
    <w:rsid w:val="004C5F54"/>
    <w:rsid w:val="004D32F9"/>
    <w:rsid w:val="004D33E0"/>
    <w:rsid w:val="004E3A32"/>
    <w:rsid w:val="004F4378"/>
    <w:rsid w:val="004F4D2D"/>
    <w:rsid w:val="004F7095"/>
    <w:rsid w:val="0051535B"/>
    <w:rsid w:val="00546A8B"/>
    <w:rsid w:val="00552CC2"/>
    <w:rsid w:val="00553DF2"/>
    <w:rsid w:val="00564201"/>
    <w:rsid w:val="00564E49"/>
    <w:rsid w:val="00571F34"/>
    <w:rsid w:val="005842B0"/>
    <w:rsid w:val="005A4A5A"/>
    <w:rsid w:val="005C7B2D"/>
    <w:rsid w:val="006005DC"/>
    <w:rsid w:val="00604ACC"/>
    <w:rsid w:val="00624377"/>
    <w:rsid w:val="006911D9"/>
    <w:rsid w:val="00695BC3"/>
    <w:rsid w:val="006A7EB9"/>
    <w:rsid w:val="006B04E7"/>
    <w:rsid w:val="006B1CA2"/>
    <w:rsid w:val="006C06C4"/>
    <w:rsid w:val="006C106A"/>
    <w:rsid w:val="006C5E4C"/>
    <w:rsid w:val="006D4A40"/>
    <w:rsid w:val="00702F2B"/>
    <w:rsid w:val="00712734"/>
    <w:rsid w:val="00720F45"/>
    <w:rsid w:val="0073019F"/>
    <w:rsid w:val="007766C8"/>
    <w:rsid w:val="0077712D"/>
    <w:rsid w:val="00787AB9"/>
    <w:rsid w:val="0079212D"/>
    <w:rsid w:val="007A5518"/>
    <w:rsid w:val="007A5DA1"/>
    <w:rsid w:val="007B6C38"/>
    <w:rsid w:val="007C2765"/>
    <w:rsid w:val="007C46A6"/>
    <w:rsid w:val="007E3D50"/>
    <w:rsid w:val="00807E3D"/>
    <w:rsid w:val="00820532"/>
    <w:rsid w:val="008205AB"/>
    <w:rsid w:val="0082386E"/>
    <w:rsid w:val="008626B7"/>
    <w:rsid w:val="00871F99"/>
    <w:rsid w:val="00873CD1"/>
    <w:rsid w:val="008C18F2"/>
    <w:rsid w:val="008D40A8"/>
    <w:rsid w:val="008D6EF2"/>
    <w:rsid w:val="008E0DC5"/>
    <w:rsid w:val="009042FA"/>
    <w:rsid w:val="00931A86"/>
    <w:rsid w:val="00940D40"/>
    <w:rsid w:val="00950BBD"/>
    <w:rsid w:val="009607EF"/>
    <w:rsid w:val="00966AC1"/>
    <w:rsid w:val="00982C73"/>
    <w:rsid w:val="009B6728"/>
    <w:rsid w:val="009C4BAA"/>
    <w:rsid w:val="009D42F9"/>
    <w:rsid w:val="00A32512"/>
    <w:rsid w:val="00A53558"/>
    <w:rsid w:val="00A629D0"/>
    <w:rsid w:val="00A7261B"/>
    <w:rsid w:val="00A7767B"/>
    <w:rsid w:val="00A931A0"/>
    <w:rsid w:val="00AA7140"/>
    <w:rsid w:val="00AB37B9"/>
    <w:rsid w:val="00AD2EB4"/>
    <w:rsid w:val="00AE3FA1"/>
    <w:rsid w:val="00AF30B6"/>
    <w:rsid w:val="00B11ACA"/>
    <w:rsid w:val="00B37F29"/>
    <w:rsid w:val="00B41266"/>
    <w:rsid w:val="00B42546"/>
    <w:rsid w:val="00B51129"/>
    <w:rsid w:val="00B64DA6"/>
    <w:rsid w:val="00B666B3"/>
    <w:rsid w:val="00B70B43"/>
    <w:rsid w:val="00B734DF"/>
    <w:rsid w:val="00B84C71"/>
    <w:rsid w:val="00BC02EF"/>
    <w:rsid w:val="00BE04C1"/>
    <w:rsid w:val="00BF67B4"/>
    <w:rsid w:val="00C223D1"/>
    <w:rsid w:val="00C35047"/>
    <w:rsid w:val="00C4123A"/>
    <w:rsid w:val="00C41BBF"/>
    <w:rsid w:val="00C61AC5"/>
    <w:rsid w:val="00C75269"/>
    <w:rsid w:val="00C8601B"/>
    <w:rsid w:val="00CA1876"/>
    <w:rsid w:val="00CB2853"/>
    <w:rsid w:val="00CB2FFB"/>
    <w:rsid w:val="00CB62A0"/>
    <w:rsid w:val="00CD39A6"/>
    <w:rsid w:val="00CE5D14"/>
    <w:rsid w:val="00CE7509"/>
    <w:rsid w:val="00D06283"/>
    <w:rsid w:val="00D119D7"/>
    <w:rsid w:val="00D20A5C"/>
    <w:rsid w:val="00D23601"/>
    <w:rsid w:val="00D24494"/>
    <w:rsid w:val="00D25BEF"/>
    <w:rsid w:val="00D474D3"/>
    <w:rsid w:val="00D81488"/>
    <w:rsid w:val="00D8470F"/>
    <w:rsid w:val="00D84976"/>
    <w:rsid w:val="00D87C5D"/>
    <w:rsid w:val="00D91CF5"/>
    <w:rsid w:val="00DB790D"/>
    <w:rsid w:val="00DC0706"/>
    <w:rsid w:val="00DC19C6"/>
    <w:rsid w:val="00DF3885"/>
    <w:rsid w:val="00E117C4"/>
    <w:rsid w:val="00E21CB9"/>
    <w:rsid w:val="00E44F39"/>
    <w:rsid w:val="00E5220F"/>
    <w:rsid w:val="00E66003"/>
    <w:rsid w:val="00E91837"/>
    <w:rsid w:val="00E940CA"/>
    <w:rsid w:val="00EB51F4"/>
    <w:rsid w:val="00EF1CF0"/>
    <w:rsid w:val="00EF7641"/>
    <w:rsid w:val="00F0430E"/>
    <w:rsid w:val="00F23C8A"/>
    <w:rsid w:val="00F341D2"/>
    <w:rsid w:val="00F67938"/>
    <w:rsid w:val="00FA3ABB"/>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uiPriority w:val="99"/>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8D6EF2"/>
    <w:pPr>
      <w:spacing w:before="100" w:beforeAutospacing="1" w:after="100" w:afterAutospacing="1"/>
    </w:pPr>
  </w:style>
  <w:style w:type="paragraph" w:customStyle="1" w:styleId="Default">
    <w:name w:val="Default"/>
    <w:rsid w:val="00E5220F"/>
    <w:pPr>
      <w:autoSpaceDE w:val="0"/>
      <w:autoSpaceDN w:val="0"/>
      <w:adjustRightInd w:val="0"/>
    </w:pPr>
    <w:rPr>
      <w:rFonts w:ascii="PF Din Text Cond Pro" w:hAnsi="PF Din Text Cond Pro" w:cs="PF Din Text Cond Pro"/>
      <w:color w:val="000000"/>
      <w:sz w:val="24"/>
      <w:szCs w:val="24"/>
    </w:rPr>
  </w:style>
  <w:style w:type="character" w:customStyle="1" w:styleId="apple-converted-space">
    <w:name w:val="apple-converted-space"/>
    <w:basedOn w:val="a0"/>
    <w:rsid w:val="00CB2FFB"/>
  </w:style>
  <w:style w:type="paragraph" w:customStyle="1" w:styleId="ab">
    <w:name w:val="Фирменный стиль ТЕКСТ"/>
    <w:basedOn w:val="a"/>
    <w:link w:val="ac"/>
    <w:qFormat/>
    <w:rsid w:val="00CB2FFB"/>
    <w:pPr>
      <w:shd w:val="clear" w:color="auto" w:fill="FFFFFF"/>
      <w:spacing w:after="240"/>
      <w:jc w:val="both"/>
    </w:pPr>
    <w:rPr>
      <w:rFonts w:ascii="PF Din Text Cond Pro Light" w:hAnsi="PF Din Text Cond Pro Light" w:cs="Arial"/>
      <w:color w:val="000000"/>
      <w:sz w:val="40"/>
      <w:szCs w:val="38"/>
    </w:rPr>
  </w:style>
  <w:style w:type="character" w:customStyle="1" w:styleId="ac">
    <w:name w:val="Фирменный стиль ТЕКСТ Знак"/>
    <w:basedOn w:val="a0"/>
    <w:link w:val="ab"/>
    <w:rsid w:val="00CB2FFB"/>
    <w:rPr>
      <w:rFonts w:ascii="PF Din Text Cond Pro Light" w:eastAsia="Times New Roman" w:hAnsi="PF Din Text Cond Pro Light" w:cs="Arial"/>
      <w:color w:val="000000"/>
      <w:sz w:val="40"/>
      <w:szCs w:val="38"/>
      <w:shd w:val="clear" w:color="auto" w:fill="FFFFFF"/>
    </w:rPr>
  </w:style>
  <w:style w:type="paragraph" w:styleId="3">
    <w:name w:val="Body Text Indent 3"/>
    <w:basedOn w:val="a"/>
    <w:link w:val="30"/>
    <w:rsid w:val="0082386E"/>
    <w:pPr>
      <w:ind w:firstLine="709"/>
      <w:jc w:val="both"/>
    </w:pPr>
    <w:rPr>
      <w:sz w:val="26"/>
      <w:szCs w:val="20"/>
    </w:rPr>
  </w:style>
  <w:style w:type="character" w:customStyle="1" w:styleId="30">
    <w:name w:val="Основной текст с отступом 3 Знак"/>
    <w:basedOn w:val="a0"/>
    <w:link w:val="3"/>
    <w:rsid w:val="0082386E"/>
    <w:rPr>
      <w:rFonts w:ascii="Times New Roman" w:eastAsia="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3513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1E29E17E2F61A131B2324CC2A29393BAF15F67C8485EF158FD9A6426C877456AA94DD3965z0W8M" TargetMode="External"/><Relationship Id="rId13" Type="http://schemas.openxmlformats.org/officeDocument/2006/relationships/hyperlink" Target="consultantplus://offline/ref=DF81E29E17E2F61A131B2324CC2A29393BAF15F27F8185EF158FD9A6426C877456AA94D638z6W0M" TargetMode="External"/><Relationship Id="rId18" Type="http://schemas.openxmlformats.org/officeDocument/2006/relationships/hyperlink" Target="consultantplus://offline/ref=DF81E29E17E2F61A131B2324CC2A29393BAF15F27F8185EF158FD9A6426C877456AA94D438620839zCW0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81E29E17E2F61A131B2324CC2A29393BAF15F27F8185EF158FD9A6426C877456AA94D73Az6W2M" TargetMode="External"/><Relationship Id="rId17" Type="http://schemas.openxmlformats.org/officeDocument/2006/relationships/hyperlink" Target="consultantplus://offline/ref=DF81E29E17E2F61A131B2324CC2A29393BAF15F27F8185EF158FD9A6426C877456AA94D438620839zCW0M" TargetMode="External"/><Relationship Id="rId2" Type="http://schemas.openxmlformats.org/officeDocument/2006/relationships/numbering" Target="numbering.xml"/><Relationship Id="rId16" Type="http://schemas.openxmlformats.org/officeDocument/2006/relationships/hyperlink" Target="consultantplus://offline/ref=DF81E29E17E2F61A131B2324CC2A29393BAF15F27F8185EF158FD9A6426C877456AA94D438620839zCW0M" TargetMode="External"/><Relationship Id="rId20" Type="http://schemas.openxmlformats.org/officeDocument/2006/relationships/hyperlink" Target="consultantplus://offline/ref=DF81E29E17E2F61A131B3E30DE42133F64AA1DF5788C87BC428D88F34C698Fz2W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81E29E17E2F61A131B2324CC2A29393BAF15F27F8185EF158FD9A6426C877456AA94D638z6W3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81E29E17E2F61A131B2324CC2A29393BAF15F27F8185EF158FD9A6426C877456AA94D638z6W0M" TargetMode="External"/><Relationship Id="rId23" Type="http://schemas.openxmlformats.org/officeDocument/2006/relationships/fontTable" Target="fontTable.xml"/><Relationship Id="rId10" Type="http://schemas.openxmlformats.org/officeDocument/2006/relationships/hyperlink" Target="consultantplus://offline/ref=DF81E29E17E2F61A131B2324CC2A29393BAF15F27F8185EF158FD9A6426C877456AA94D73Az6W2M" TargetMode="External"/><Relationship Id="rId19" Type="http://schemas.openxmlformats.org/officeDocument/2006/relationships/hyperlink" Target="consultantplus://offline/ref=DF81E29E17E2F61A131B2324CC2A29393BAF15F27F8185EF158FD9A6426C877456AA94D638z6W0M" TargetMode="External"/><Relationship Id="rId4" Type="http://schemas.openxmlformats.org/officeDocument/2006/relationships/settings" Target="settings.xml"/><Relationship Id="rId9" Type="http://schemas.openxmlformats.org/officeDocument/2006/relationships/hyperlink" Target="consultantplus://offline/ref=DF81E29E17E2F61A131B2324CC2A29393BAF15F67C8485EF158FD9A6426C877456AA94DD3965z0WBM" TargetMode="External"/><Relationship Id="rId14" Type="http://schemas.openxmlformats.org/officeDocument/2006/relationships/hyperlink" Target="consultantplus://offline/ref=DF81E29E17E2F61A131B2324CC2A29393BAF15F27F8185EF158FD9A6426C877456AA94D638z6W1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AEB51-FAD7-40F4-AA2A-A6575A44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7460-00-195</cp:lastModifiedBy>
  <cp:revision>2</cp:revision>
  <cp:lastPrinted>2013-04-25T04:26:00Z</cp:lastPrinted>
  <dcterms:created xsi:type="dcterms:W3CDTF">2015-12-16T12:30:00Z</dcterms:created>
  <dcterms:modified xsi:type="dcterms:W3CDTF">2015-12-16T12:30:00Z</dcterms:modified>
</cp:coreProperties>
</file>