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8A26" w14:textId="77777777" w:rsidR="007962D3" w:rsidRPr="007962D3" w:rsidRDefault="007962D3" w:rsidP="007962D3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962D3">
        <w:rPr>
          <w:rFonts w:ascii="Times New Roman" w:hAnsi="Times New Roman" w:cs="Times New Roman"/>
          <w:b/>
          <w:bCs/>
          <w:sz w:val="24"/>
          <w:szCs w:val="24"/>
        </w:rPr>
        <w:t xml:space="preserve">За шесть лет </w:t>
      </w:r>
      <w:proofErr w:type="spellStart"/>
      <w:r w:rsidRPr="007962D3">
        <w:rPr>
          <w:rFonts w:ascii="Times New Roman" w:hAnsi="Times New Roman" w:cs="Times New Roman"/>
          <w:b/>
          <w:bCs/>
          <w:sz w:val="24"/>
          <w:szCs w:val="24"/>
        </w:rPr>
        <w:t>продэмбарго</w:t>
      </w:r>
      <w:proofErr w:type="spellEnd"/>
      <w:r w:rsidRPr="007962D3">
        <w:rPr>
          <w:rFonts w:ascii="Times New Roman" w:hAnsi="Times New Roman" w:cs="Times New Roman"/>
          <w:b/>
          <w:bCs/>
          <w:sz w:val="24"/>
          <w:szCs w:val="24"/>
        </w:rPr>
        <w:t xml:space="preserve"> Россия вошла в число лидеров по поставкам на мировой рынок продовольствия</w:t>
      </w:r>
    </w:p>
    <w:p w14:paraId="48DD6FE7" w14:textId="53F9D083" w:rsidR="0072599C" w:rsidRPr="003B4AB6" w:rsidRDefault="00EC2B56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962D3" w:rsidRPr="00A828E9">
          <w:rPr>
            <w:rStyle w:val="a5"/>
            <w:rFonts w:ascii="Times New Roman" w:hAnsi="Times New Roman" w:cs="Times New Roman"/>
            <w:sz w:val="24"/>
            <w:szCs w:val="24"/>
          </w:rPr>
          <w:t>https://rg.ru/2020/08/05/glava-minselhoza-otrasl-apk-stala-odnim-iz-drajverov-ekonomiki-strany.html</w:t>
        </w:r>
      </w:hyperlink>
      <w:r w:rsidR="00796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2AA32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контрсанкций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 xml:space="preserve"> послужило толчком для развития отечественного АПК. С 2013 года государство увеличило объем поддержки АПК более чем в полтора раза: с чуть менее 198 млрд рублей до 311,5 млрд рублей. За счет этого объемы производства выросли по всем основным продуктам питания.</w:t>
      </w:r>
    </w:p>
    <w:p w14:paraId="17D8386D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Если в 2013 году в России было выращено 92,4 млн тонн зерна, то в 2019 году урожай составил 121,2 млн тонн. Сои мы стали выращивать почти в три раза больше (4,4 млн тонн против 1,5 млн тонн в 2013 году), сахарной свеклы - вдвое больше (1,14 млн тонн в сравнении с 538 тыс. тонн). Производство отечественных тепличных овощей выросло более чем вдвое (с 538 тыс. тонн до 1,14 млн тонн), плодов и ягод - тоже почти вдвое (с 678 тыс. тонн до 1,18 млн тонн). Производство свиней на убой скакнуло с 3,6 млн тонн в 2013 году до 5,03 млн в 2019-м, а птицы - с 5,2 млн тонн до 6,7 млн.</w:t>
      </w:r>
    </w:p>
    <w:p w14:paraId="5CF97587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За шесть лет фактический рост производства в сельском хозяйстве составил 119%, пищевых продуктов - 131%, напитков - 105%.</w:t>
      </w:r>
    </w:p>
    <w:p w14:paraId="691EA444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 xml:space="preserve">В стране нет проблем с самообеспеченностью основными продуктами питания, акцентируют внимание в 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минсельхозе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 xml:space="preserve">. Более того, некоторой 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агропродукции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 xml:space="preserve"> мы производим значительно больше, чем потребляем. Например, растительного масла в стране выпускается на 75% больше того, что нам нужно, зерна - в полтора раза больше, сахара - на четверть.</w:t>
      </w:r>
    </w:p>
    <w:p w14:paraId="5790B7F1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Это позволило увеличить экспорт продукции АПК в полтора раза - с 16,8 млрд долларов в 2013 году до 25,6 млрд долларов в 2019 году. Россия вошла в число лидеров по поставкам на мировой рынок пшеницы, растительного масла, рыбы, сахара и другой продукции. Значительно увеличился экспорт мясной и масложировой продукции, продукции пищевой и перерабатывающей промышленности.</w:t>
      </w:r>
    </w:p>
    <w:p w14:paraId="0F9168FA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Дмитрий Патрушев, министр сельского хозяйства:</w:t>
      </w:r>
    </w:p>
    <w:p w14:paraId="75270BB5" w14:textId="563C487E" w:rsidR="0072599C" w:rsidRPr="003B4AB6" w:rsidRDefault="007962D3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99C" w:rsidRPr="003B4AB6">
        <w:rPr>
          <w:rFonts w:ascii="Times New Roman" w:hAnsi="Times New Roman" w:cs="Times New Roman"/>
          <w:sz w:val="24"/>
          <w:szCs w:val="24"/>
        </w:rPr>
        <w:t xml:space="preserve">Нам удалось во многом изменить восприятие сельского хозяйства как нерентабельной и рискованной отрасли и сформировать в деловой среде понимание, что это современный, высокотехнологичный и прибыльный бизнес. По итогам прошлого года рентабельность </w:t>
      </w:r>
      <w:proofErr w:type="spellStart"/>
      <w:r w:rsidR="0072599C" w:rsidRPr="003B4AB6">
        <w:rPr>
          <w:rFonts w:ascii="Times New Roman" w:hAnsi="Times New Roman" w:cs="Times New Roman"/>
          <w:sz w:val="24"/>
          <w:szCs w:val="24"/>
        </w:rPr>
        <w:t>сельхозорганизаций</w:t>
      </w:r>
      <w:proofErr w:type="spellEnd"/>
      <w:r w:rsidR="0072599C" w:rsidRPr="003B4AB6">
        <w:rPr>
          <w:rFonts w:ascii="Times New Roman" w:hAnsi="Times New Roman" w:cs="Times New Roman"/>
          <w:sz w:val="24"/>
          <w:szCs w:val="24"/>
        </w:rPr>
        <w:t xml:space="preserve"> достигла 13,3%, что почти в два раза выше показателя 2013 года. Сегодня мы отмечаем стабильный приток российского и иностранного капитала даже со стороны инвесторов, которые раньше не имели никакого отношения к АПК. Отрасль стала одним из крупнейших потребителей новых технологий и передовых научных разработок. Все больше людей видят в сельском хозяйстве возможности и перспективы как для себя, так и для своего бизнеса.</w:t>
      </w:r>
    </w:p>
    <w:p w14:paraId="75F91FED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Важнейшим результатом последних лет является создание в аграрном секторе десятков тысяч рабочих мест. Открытие и интенсивное развитие агропредприятий по всей стране позволило значительно улучшить ситуацию с занятостью на селе. Более того, сегодня, когда Россия, как и весь мир, сталкивается с последствиями пандемии коронавируса, АПК выступает донором рабочих мест для других секторов экономики и готов принимать специалистов из самых разных, в том числе высокотехнологичных, областей.</w:t>
      </w:r>
    </w:p>
    <w:p w14:paraId="6603A9D9" w14:textId="61B5F8BE" w:rsidR="0072599C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1D146B3D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5C0CB3DE" w14:textId="77777777" w:rsidR="004270F4" w:rsidRPr="004270F4" w:rsidRDefault="004270F4" w:rsidP="003B4AB6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4270F4">
        <w:rPr>
          <w:rFonts w:ascii="Times New Roman" w:hAnsi="Times New Roman" w:cs="Times New Roman"/>
          <w:b/>
          <w:bCs/>
          <w:sz w:val="24"/>
          <w:szCs w:val="24"/>
        </w:rPr>
        <w:t xml:space="preserve">Минфин предложил Нидерландам пересмотреть соглашение об </w:t>
      </w:r>
      <w:proofErr w:type="spellStart"/>
      <w:r w:rsidRPr="004270F4">
        <w:rPr>
          <w:rFonts w:ascii="Times New Roman" w:hAnsi="Times New Roman" w:cs="Times New Roman"/>
          <w:b/>
          <w:bCs/>
          <w:sz w:val="24"/>
          <w:szCs w:val="24"/>
        </w:rPr>
        <w:t>избежании</w:t>
      </w:r>
      <w:proofErr w:type="spellEnd"/>
      <w:r w:rsidRPr="004270F4">
        <w:rPr>
          <w:rFonts w:ascii="Times New Roman" w:hAnsi="Times New Roman" w:cs="Times New Roman"/>
          <w:b/>
          <w:bCs/>
          <w:sz w:val="24"/>
          <w:szCs w:val="24"/>
        </w:rPr>
        <w:t xml:space="preserve"> двойного налогообложения </w:t>
      </w:r>
    </w:p>
    <w:p w14:paraId="3597C77E" w14:textId="3DE4999B" w:rsidR="0072599C" w:rsidRPr="003B4AB6" w:rsidRDefault="00EC2B56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270F4" w:rsidRPr="00A828E9">
          <w:rPr>
            <w:rStyle w:val="a5"/>
            <w:rFonts w:ascii="Times New Roman" w:hAnsi="Times New Roman" w:cs="Times New Roman"/>
            <w:sz w:val="24"/>
            <w:szCs w:val="24"/>
          </w:rPr>
          <w:t>https://iz.ru/1044485/dmitrii-grinkevich/gollandskie-zaboty-kto-postradaet-ot-novogo-nalogovogo-rezhima-s-niderlandami</w:t>
        </w:r>
      </w:hyperlink>
      <w:r w:rsidR="00427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C5BC3" w14:textId="05E5B1EB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 xml:space="preserve">Минфин предложил Нидерландам пересмотреть соглашение об 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 xml:space="preserve"> двойного налогообложения (СИДН). Нидерланды, таким образом, стали четвертыми в </w:t>
      </w:r>
      <w:r w:rsidRPr="003B4AB6">
        <w:rPr>
          <w:rFonts w:ascii="Times New Roman" w:hAnsi="Times New Roman" w:cs="Times New Roman"/>
          <w:sz w:val="24"/>
          <w:szCs w:val="24"/>
        </w:rPr>
        <w:lastRenderedPageBreak/>
        <w:t>списке стран, которые Минфин проинформировал о намерениях изменить условия СИДН — им предшествовали Кипр, Мальта и Люксембург.</w:t>
      </w:r>
    </w:p>
    <w:p w14:paraId="570C7B66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Пока Минфин по отношению к налоговым гаваням занимает довольно жесткую позицию, действуя строго в соответствии с поручением президента. 25 марта Владимир Путин в обращении к гражданам анонсировал повышение ставки налога на вывод дивидендов за рубеж до 15%. При этом президент предупредил, что Россия выйдет из таких соглашений в одностороннем порядке в случае, если иностранные партнеры не примут новых условий.</w:t>
      </w:r>
    </w:p>
    <w:p w14:paraId="16F7C66C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Впрочем, даже если дело дойдет до расторжения соглашения с Нидерландами, оно фактически будет действовать еще весь 2021-й, отметил управляющий партнер «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Борениус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 xml:space="preserve"> Россия» Андрей Гусев. Договор перестает работать со следующего календарного года при условии, что уведомление передано не позднее чем за шесть месяцев до его окончания. Если Минфин направит документ в этом году или в первой половине 2021-го, то соглашение перестанет действовать только с 2022 года.</w:t>
      </w:r>
    </w:p>
    <w:p w14:paraId="6179C34A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С 2009 по 2019 год прямые инвестиции из РФ в Нидерланды, по данным Центробанка, составили $18 млрд. Для сравнения: аналогичный показатель для Кипра — $170 млрд.</w:t>
      </w:r>
    </w:p>
    <w:p w14:paraId="6F89A225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Голландия была популярна для создания холдинговых и финансовых организаций, а также специальных компаний, выпускающих еврооблигации, рассказала партнер EY Марина Белякова.</w:t>
      </w:r>
    </w:p>
    <w:p w14:paraId="0E1E6665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Ее налоговый режим был и остается более жестким, чем на Кипре, но некоторые бизнесы выбирали эту страну по репутационным соображениям. Кроме этого, в Нидерландах раньше было больше возможностей для создания реально, а не номинально действующих офисов, добавила эксперт.</w:t>
      </w:r>
    </w:p>
    <w:p w14:paraId="610BB5C7" w14:textId="57E73958" w:rsidR="0072599C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5C8FCEEA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4A6C6B37" w14:textId="640534F3" w:rsidR="004270F4" w:rsidRPr="004270F4" w:rsidRDefault="004270F4" w:rsidP="004270F4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4270F4">
        <w:rPr>
          <w:rFonts w:ascii="Times New Roman" w:hAnsi="Times New Roman" w:cs="Times New Roman"/>
          <w:b/>
          <w:bCs/>
          <w:sz w:val="24"/>
          <w:szCs w:val="24"/>
        </w:rPr>
        <w:t>Из-за новых СанПиНов по предоставлению услуг населению доставка товаров из магазинов может подорожать вдвое, в среднем до 600 рублей</w:t>
      </w:r>
    </w:p>
    <w:p w14:paraId="19497E71" w14:textId="4352F7E3" w:rsidR="0072599C" w:rsidRPr="003B4AB6" w:rsidRDefault="00EC2B56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70F4" w:rsidRPr="00A828E9">
          <w:rPr>
            <w:rStyle w:val="a5"/>
            <w:rFonts w:ascii="Times New Roman" w:hAnsi="Times New Roman" w:cs="Times New Roman"/>
            <w:sz w:val="24"/>
            <w:szCs w:val="24"/>
          </w:rPr>
          <w:t>https://iz.ru/1044433/evgeniia-pertceva/poroshok-vroz-dostavka-povsednevnykh-tovarov-mozhet-podorozhat-vdvoe</w:t>
        </w:r>
      </w:hyperlink>
      <w:r w:rsidR="00427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34979" w14:textId="79FDC496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Ритейлеры подготовили негативный отзыв на новый проект «Санитарно-эпидемиологические требования к предоставлению услуг населению». СанПиН направлен в Роспотребнадзор на утверждение, его разработчик — Федеральный научный центр медико-профилактических технологи</w:t>
      </w:r>
      <w:r w:rsidR="004270F4">
        <w:rPr>
          <w:rFonts w:ascii="Times New Roman" w:hAnsi="Times New Roman" w:cs="Times New Roman"/>
          <w:sz w:val="24"/>
          <w:szCs w:val="24"/>
        </w:rPr>
        <w:t>й</w:t>
      </w:r>
      <w:r w:rsidRPr="003B4AB6">
        <w:rPr>
          <w:rFonts w:ascii="Times New Roman" w:hAnsi="Times New Roman" w:cs="Times New Roman"/>
          <w:sz w:val="24"/>
          <w:szCs w:val="24"/>
        </w:rPr>
        <w:t xml:space="preserve"> управления рисками здоровью населения. Документ содержит излишние требования, сказано в письме АКИТ от 4 августа на имя главного санитарного врача Анны Поповой. </w:t>
      </w:r>
    </w:p>
    <w:p w14:paraId="0800CC7B" w14:textId="1A7ABD5F" w:rsidR="0072599C" w:rsidRPr="003B4AB6" w:rsidRDefault="0072599C" w:rsidP="004270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Один из пунктов проекта СанПиН гласит: нельзя перевозить товары бытовой химии транспортом, предназначенным для продуктов питания, питьево</w:t>
      </w:r>
      <w:r w:rsidR="004270F4">
        <w:rPr>
          <w:rFonts w:ascii="Times New Roman" w:hAnsi="Times New Roman" w:cs="Times New Roman"/>
          <w:sz w:val="24"/>
          <w:szCs w:val="24"/>
        </w:rPr>
        <w:t>й</w:t>
      </w:r>
      <w:r w:rsidRPr="003B4AB6">
        <w:rPr>
          <w:rFonts w:ascii="Times New Roman" w:hAnsi="Times New Roman" w:cs="Times New Roman"/>
          <w:sz w:val="24"/>
          <w:szCs w:val="24"/>
        </w:rPr>
        <w:t xml:space="preserve"> воды. Однако такой запрет может кра</w:t>
      </w:r>
      <w:r w:rsidR="004270F4">
        <w:rPr>
          <w:rFonts w:ascii="Times New Roman" w:hAnsi="Times New Roman" w:cs="Times New Roman"/>
          <w:sz w:val="24"/>
          <w:szCs w:val="24"/>
        </w:rPr>
        <w:t>й</w:t>
      </w:r>
      <w:r w:rsidRPr="003B4AB6">
        <w:rPr>
          <w:rFonts w:ascii="Times New Roman" w:hAnsi="Times New Roman" w:cs="Times New Roman"/>
          <w:sz w:val="24"/>
          <w:szCs w:val="24"/>
        </w:rPr>
        <w:t>не негативно сказаться на бурно развивающе</w:t>
      </w:r>
      <w:r w:rsidR="004270F4">
        <w:rPr>
          <w:rFonts w:ascii="Times New Roman" w:hAnsi="Times New Roman" w:cs="Times New Roman"/>
          <w:sz w:val="24"/>
          <w:szCs w:val="24"/>
        </w:rPr>
        <w:t>й</w:t>
      </w:r>
      <w:r w:rsidRPr="003B4AB6">
        <w:rPr>
          <w:rFonts w:ascii="Times New Roman" w:hAnsi="Times New Roman" w:cs="Times New Roman"/>
          <w:sz w:val="24"/>
          <w:szCs w:val="24"/>
        </w:rPr>
        <w:t xml:space="preserve">ся отрасли 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интернет-торговли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>, уверены в ассоциации. В этом случае будет невозможно перевозить в одном автомобиле продукты питания и бытовую химию, что приведет к серьезным дополнительным затратам при доставке заказов.</w:t>
      </w:r>
      <w:r w:rsidR="004270F4" w:rsidRPr="003B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140DC" w14:textId="5ECFEE68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Между тем технический регламент «О безопасности пищево</w:t>
      </w:r>
      <w:r w:rsidR="004270F4">
        <w:rPr>
          <w:rFonts w:ascii="Times New Roman" w:hAnsi="Times New Roman" w:cs="Times New Roman"/>
          <w:sz w:val="24"/>
          <w:szCs w:val="24"/>
        </w:rPr>
        <w:t>й</w:t>
      </w:r>
      <w:r w:rsidRPr="003B4AB6">
        <w:rPr>
          <w:rFonts w:ascii="Times New Roman" w:hAnsi="Times New Roman" w:cs="Times New Roman"/>
          <w:sz w:val="24"/>
          <w:szCs w:val="24"/>
        </w:rPr>
        <w:t xml:space="preserve"> продукции», который имеет приоритет над национальным законодательством РФ, допускает совместную перевозку пищевых и непищевых продуктов, если их контакт при этом исключен, указано в отзыве ассоциации. АКИТ предлагает привести новый документ в соответствие с техрегламентом и снять строгий запрет.</w:t>
      </w:r>
    </w:p>
    <w:p w14:paraId="448854C0" w14:textId="53C73DDE" w:rsidR="0072599C" w:rsidRDefault="0072599C" w:rsidP="004270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 xml:space="preserve">— Дополнительные расходы компаний из-за новых требований возрастут в два раза. В итоге стоимость доставки увеличится пропорционально, сейчас она составляет в среднем по России 300–350 рублей, — сказал «Известиям» президент АКИТ Артем Соколов. — Интернет-компании нацелены на оптимизацию бизнеса и снижение логистических расходов, чтобы удешевить доставку. Это делается в основном за счет </w:t>
      </w:r>
      <w:r w:rsidRPr="003B4AB6">
        <w:rPr>
          <w:rFonts w:ascii="Times New Roman" w:hAnsi="Times New Roman" w:cs="Times New Roman"/>
          <w:sz w:val="24"/>
          <w:szCs w:val="24"/>
        </w:rPr>
        <w:lastRenderedPageBreak/>
        <w:t>расширения ассортимента, который предлагается покупателям. Сегодня компании осуществляют совместную перевозку пищевых и непищевых продуктов, при этом их прямой контакт исключен: товары отделены не только первичной упаковкой, но и вторичной, а также размещены в автомобиле в разных секциях</w:t>
      </w:r>
      <w:r w:rsidR="004270F4">
        <w:rPr>
          <w:rFonts w:ascii="Times New Roman" w:hAnsi="Times New Roman" w:cs="Times New Roman"/>
          <w:sz w:val="24"/>
          <w:szCs w:val="24"/>
        </w:rPr>
        <w:t>»</w:t>
      </w:r>
      <w:r w:rsidRPr="003B4AB6">
        <w:rPr>
          <w:rFonts w:ascii="Times New Roman" w:hAnsi="Times New Roman" w:cs="Times New Roman"/>
          <w:sz w:val="24"/>
          <w:szCs w:val="24"/>
        </w:rPr>
        <w:t>.</w:t>
      </w:r>
    </w:p>
    <w:p w14:paraId="0047C081" w14:textId="3844BBA2" w:rsidR="0072599C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3FDEF6F7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5BB0C02C" w14:textId="0A60122F" w:rsidR="0072599C" w:rsidRPr="004A221C" w:rsidRDefault="004A221C" w:rsidP="003B4AB6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4A221C">
        <w:rPr>
          <w:rFonts w:ascii="Times New Roman" w:hAnsi="Times New Roman" w:cs="Times New Roman"/>
          <w:b/>
          <w:bCs/>
          <w:sz w:val="24"/>
          <w:szCs w:val="24"/>
        </w:rPr>
        <w:t>В 2021 году финансирование многих госпрограмм существенно сократится</w:t>
      </w:r>
    </w:p>
    <w:p w14:paraId="26C93161" w14:textId="74E88A06" w:rsidR="0072599C" w:rsidRPr="003B4AB6" w:rsidRDefault="00EC2B56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221C" w:rsidRPr="00A828E9">
          <w:rPr>
            <w:rStyle w:val="a5"/>
            <w:rFonts w:ascii="Times New Roman" w:hAnsi="Times New Roman" w:cs="Times New Roman"/>
            <w:sz w:val="24"/>
            <w:szCs w:val="24"/>
          </w:rPr>
          <w:t>https://www.gazeta.ru/business/2020/08/05/13179091.shtml</w:t>
        </w:r>
      </w:hyperlink>
      <w:r w:rsidR="004A2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F38BF" w14:textId="77777777" w:rsidR="004270F4" w:rsidRDefault="0072599C" w:rsidP="004270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В 2021 году Минфин планирует увеличить бюджетные траты на госпрограммы на 4,7 млрд рублей – это всего на 0,03% больше, чем предусмотрено в действующей редакции бюджета на следующий год. При этом финансирование многих госпрограмм существенно сократится: больше остальных пострадают программы развития промышленности, отдельных регионов, транспортной системы и фармацевтики.</w:t>
      </w:r>
    </w:p>
    <w:p w14:paraId="7B782E37" w14:textId="600AB56E" w:rsidR="0072599C" w:rsidRPr="003B4AB6" w:rsidRDefault="0072599C" w:rsidP="004270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Развитие образования и здравоохранения – безусловно важные статьи бюджетных расходов, без которых невозможны долгосрочные инвестиции в человеческий капитал. А они в России недостаточны и без урезания бюджетов.</w:t>
      </w:r>
    </w:p>
    <w:p w14:paraId="137A419E" w14:textId="5C5F2D4D" w:rsidR="0072599C" w:rsidRPr="003B4AB6" w:rsidRDefault="0072599C" w:rsidP="004270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 xml:space="preserve">Еще в ноябре прошлого года, выступая на общем заседании Российской академии наук директор Института народнохозяйственного прогнозирования РАН академик Борис 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Порфирев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 xml:space="preserve"> отметил, что</w:t>
      </w:r>
      <w:r w:rsidR="004270F4">
        <w:rPr>
          <w:rFonts w:ascii="Times New Roman" w:hAnsi="Times New Roman" w:cs="Times New Roman"/>
          <w:sz w:val="24"/>
          <w:szCs w:val="24"/>
        </w:rPr>
        <w:t xml:space="preserve"> </w:t>
      </w:r>
      <w:r w:rsidRPr="003B4AB6">
        <w:rPr>
          <w:rFonts w:ascii="Times New Roman" w:hAnsi="Times New Roman" w:cs="Times New Roman"/>
          <w:sz w:val="24"/>
          <w:szCs w:val="24"/>
        </w:rPr>
        <w:t>в России суммарные инвестиции в здравоохранение, образование и науку (они и входят в понятие человеческого капитала) вдвое-втрое ниже, чем в странах G7.</w:t>
      </w:r>
    </w:p>
    <w:p w14:paraId="5434122E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В относительных значениях Минфин предлагает сократить бюджетное финансирование на 9,5% по каждой из категорий. Для образования эта сумма составит 33,2 млрд рублей, а для медицины – 65,7 млрд рублей. Причем больше всего пострадают ассигнования на развитие среднего и дополнительного профессионального образования (минус 631 млн рублей) и экспертиза и контрольно-надзорные функции в сфере охраны здоровья (минус 962 млн рублей).</w:t>
      </w:r>
    </w:p>
    <w:p w14:paraId="6CAA48FF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Но есть и госпрограммы, которые пострадают гораздо существеннее как в относительном, так и абсолютном выражениях.</w:t>
      </w:r>
    </w:p>
    <w:p w14:paraId="5BBF5A1E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Самый тяжелый удар придется по программе развития промышленности и повышения ее конкурентоспособности. Суммарно от этой программы в следующем году Минфин хочет «отрезать» сразу 23% или 123,3 млрд рублей.</w:t>
      </w:r>
    </w:p>
    <w:p w14:paraId="56F117EC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Больше всего пострадает развитие транспортного и специального машиностроения: Минфин планирует сократить соответствующие расходы на 107,1 млрд рублей. А самый большой прирост ассигнований ждет промышленную инфраструктуру, но там цифры в почти в 100 раз меньше: на это добавят только 1,1 млрд руб.</w:t>
      </w:r>
    </w:p>
    <w:p w14:paraId="126F5107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Сокращение бюджетных ассигнований почти на 10% ждет сразу несколько госпрограмм. В частности, это касается комплексного развития сельских территорий, космической деятельности, развития сельского хозяйства, оборонно-промышленного комплекса и энергетики (в последнем случае – минус 8,5%).</w:t>
      </w:r>
    </w:p>
    <w:p w14:paraId="53843D0D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3B4AB6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3B4AB6">
        <w:rPr>
          <w:rFonts w:ascii="Times New Roman" w:hAnsi="Times New Roman" w:cs="Times New Roman"/>
          <w:sz w:val="24"/>
          <w:szCs w:val="24"/>
        </w:rPr>
        <w:t xml:space="preserve"> 10% ассигнований лишится программа развития фармацевтической и медицинской промышленности: в абсолютных числах Минфин хочет выделить в эту область на 1,1 млрд рублей меньше. Причем в следующем году</w:t>
      </w:r>
    </w:p>
    <w:p w14:paraId="13270ED1" w14:textId="77777777" w:rsidR="0072599C" w:rsidRPr="003B4AB6" w:rsidRDefault="0072599C" w:rsidP="00427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на развитие производства лекарственных средств ведомство планирует потратить суммарно 6,8 млрд рублей. Для сравнения, на устойчивое развитие ядерного оружейного комплекса и стратегическое присутствие в Арктике, в соответствии с тем же планом, должно уйти 8,6 млрд рублей.</w:t>
      </w:r>
    </w:p>
    <w:p w14:paraId="22EE1BBF" w14:textId="705F8137" w:rsidR="0072599C" w:rsidRPr="003B4AB6" w:rsidRDefault="0072599C" w:rsidP="004270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Несколько госпрограмм, по плану Минфина, все же получат гораздо более значительные средства, чем предполагалось раньше. Так,</w:t>
      </w:r>
      <w:r w:rsidR="004270F4">
        <w:rPr>
          <w:rFonts w:ascii="Times New Roman" w:hAnsi="Times New Roman" w:cs="Times New Roman"/>
          <w:sz w:val="24"/>
          <w:szCs w:val="24"/>
        </w:rPr>
        <w:t xml:space="preserve"> </w:t>
      </w:r>
      <w:r w:rsidRPr="003B4AB6">
        <w:rPr>
          <w:rFonts w:ascii="Times New Roman" w:hAnsi="Times New Roman" w:cs="Times New Roman"/>
          <w:sz w:val="24"/>
          <w:szCs w:val="24"/>
        </w:rPr>
        <w:t>затраты на развитие электронной и радиоэлектронной промышленности вырастут сразу в 11,5 раз – до 124 млрд рублей (хотя изначально закладывалось только 10,7 млрд).</w:t>
      </w:r>
    </w:p>
    <w:p w14:paraId="23AB3C9D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lastRenderedPageBreak/>
        <w:t>Еще в 3,7 раза вырастут бюджетные траты на экономическое развитие и инновационную экономику, причем на развитие малого и среднего предпринимательства в этой статье заложено 420 млрд рублей.</w:t>
      </w:r>
    </w:p>
    <w:p w14:paraId="7B411EC9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Из непрограммных бюджетных трат особенно выделяется развитие пенсионной системы: на эту цель Минфин хочет потратить на 18,5% больше. В абсолютном выражении это дополнительные 547 млрд рублей.</w:t>
      </w:r>
    </w:p>
    <w:p w14:paraId="115BD850" w14:textId="77777777" w:rsidR="004270F4" w:rsidRDefault="004270F4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35831FA8" w14:textId="19A161C1" w:rsidR="004270F4" w:rsidRDefault="004270F4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5F2FEDE5" w14:textId="25AE2B73" w:rsidR="00C1659C" w:rsidRPr="00C1659C" w:rsidRDefault="00C1659C" w:rsidP="00C1659C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C1659C">
        <w:rPr>
          <w:rFonts w:ascii="Times New Roman" w:hAnsi="Times New Roman" w:cs="Times New Roman"/>
          <w:b/>
          <w:bCs/>
          <w:sz w:val="24"/>
          <w:szCs w:val="24"/>
        </w:rPr>
        <w:t>Низкорентабельным застройщикам в регионах помогут с проектным финансированием</w:t>
      </w:r>
    </w:p>
    <w:p w14:paraId="45EB6E85" w14:textId="190E1710" w:rsidR="0072599C" w:rsidRPr="003B4AB6" w:rsidRDefault="00EC2B56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659C" w:rsidRPr="00A828E9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https://www.kommersant.ru/doc/4443050</w:t>
        </w:r>
      </w:hyperlink>
      <w:r w:rsidR="00C1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6CC7C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Минстрой подготовил проект постановления правительства для стимулирования банков предоставлять проектное финансирование застройщикам под низкодоходные проекты. По данным Минстроя, сейчас такое финансирование выделяется под проекты с рентабельностью не менее 15% — у застройщиков с меньшей маржинальностью возникают проблемы при получении кредитов. Представить меры поддержки таких организаций Минстрой обещал еще в декабре 2019 года, коснутся они регионов с уровнем дохода населения на 25% ниже среднероссийского.</w:t>
      </w:r>
    </w:p>
    <w:p w14:paraId="5C6F90E2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 xml:space="preserve">Напомним, механизм проектного финансирования запущен с 1 июля 2019 года, он предполагает отказ от прямого привлечения денег граждан: средства зачисляются на 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>-счета, а строительство финансируется за счет кредитов. У многих застройщиков осталось право достраивать дома по старым правилам (при готовности объекта от 30% или продаже более 10% площадей) — по прогнозу Минстроя, к концу 2020 года 50–60% отрасли перейдет на новый механизм. По данным ЦБ, к 1 июля банки заключили с застройщиками кредитные договоры на 1,45 трлн руб.— средняя ставка сейчас составляет от 3,7% до 5,5%.</w:t>
      </w:r>
    </w:p>
    <w:p w14:paraId="3F1604CB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Субсидироваться будут кредиты на проекты с невысоким коэффициентом покрытия долга и процентов денежными потоками, доступными для его обслуживания (LLCR ниже 1,15).</w:t>
      </w:r>
    </w:p>
    <w:p w14:paraId="4AC2BFA7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 xml:space="preserve">Участвовать в программе смогут застройщики, не получавшие финансовую помощь и другие субсидии по кредитам. Планируемая стоимость проекта должна составлять не более 500 млн руб., первый договор долевого участия должен быть зарегистрирован до конца этого года, а средства граждан — размещаться на 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>-счетах. Банкам будет возмещаться разница между увеличенной на 7,5 процентного пункта ключевой ставкой ЦБ (сейчас это 11,75%) и ставкой по выданному кредиту — в этом году на такие компенсации Минстрой предлагает выделить из Резервного фонда 1 млрд руб.</w:t>
      </w:r>
    </w:p>
    <w:p w14:paraId="14ED82CB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 xml:space="preserve">Руководитель Всероссийского центра национальной строительной политики Александр 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 xml:space="preserve"> поясняет, что средняя рентабельность, при которой застройщики не уходили бы в минус, составляет не менее 20%, иначе высоки риски того, что объект станет проблемным. Предложение Минстроя он называет правильным: «Государство создает хороший задел на перспективу, поскольку застройщики смогут завершить проекты с низкой рентабельностью». Общественный омбудсмен по строительной отрасли, глава комитета по строительству «Опоры России» Дмитрий </w:t>
      </w:r>
      <w:proofErr w:type="spellStart"/>
      <w:r w:rsidRPr="003B4AB6">
        <w:rPr>
          <w:rFonts w:ascii="Times New Roman" w:hAnsi="Times New Roman" w:cs="Times New Roman"/>
          <w:sz w:val="24"/>
          <w:szCs w:val="24"/>
        </w:rPr>
        <w:t>Котровский</w:t>
      </w:r>
      <w:proofErr w:type="spellEnd"/>
      <w:r w:rsidRPr="003B4AB6">
        <w:rPr>
          <w:rFonts w:ascii="Times New Roman" w:hAnsi="Times New Roman" w:cs="Times New Roman"/>
          <w:sz w:val="24"/>
          <w:szCs w:val="24"/>
        </w:rPr>
        <w:t xml:space="preserve"> отмечает, что в так называемой зоне риска числятся 800 застройщиков, у которых за год накопились проблемы.</w:t>
      </w:r>
    </w:p>
    <w:p w14:paraId="76BF6BF3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Впрочем, по его мнению, программа сложна с точки зрения администрирования: он напоминает, что для получения кредита застройщики должны предоставить обеспечение, а у большинства таких девелоперов земля, как правило, в аренде.</w:t>
      </w:r>
    </w:p>
    <w:p w14:paraId="2424677C" w14:textId="6C462AAB" w:rsidR="0072599C" w:rsidRDefault="0072599C" w:rsidP="00C1659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3B4AB6">
        <w:rPr>
          <w:rFonts w:ascii="Times New Roman" w:hAnsi="Times New Roman" w:cs="Times New Roman"/>
          <w:sz w:val="24"/>
          <w:szCs w:val="24"/>
        </w:rPr>
        <w:t>Как пояснили в Газпромбанке, программа позволит облегчить нагрузку на уже реализуемые низкодоходные проекты за счет снижения эффективной ставки до 1–</w:t>
      </w:r>
      <w:r w:rsidRPr="003B4AB6">
        <w:rPr>
          <w:rFonts w:ascii="Times New Roman" w:hAnsi="Times New Roman" w:cs="Times New Roman"/>
          <w:sz w:val="24"/>
          <w:szCs w:val="24"/>
        </w:rPr>
        <w:lastRenderedPageBreak/>
        <w:t>2% годовых. Однако в банке обращают внимание и на ограничения для участия в программе крупнейших банков: программа действует до декабря 2021 года, а бюджет в 1 млрд руб. сильно сужает число потенциальных проектов. Кроме того, проекты стоимостью до 500 млн руб. реализуются, как правило, малыми и средними региональными застройщиками — их кредитование, добавляют в «Газпромбанке», зачастую связано с повышенным риском: в 2019 году 83% всех банкротств застройщиков пришлось на компании, возводящие менее 50 тыс. кв. м жилья в год. «Поэтому при отборе проектов Газпромбанк ориентируется прежде всего на сотрудничество с крупными федеральными и региональными девелоперами-лидерами</w:t>
      </w:r>
      <w:proofErr w:type="gramStart"/>
      <w:r w:rsidRPr="003B4AB6">
        <w:rPr>
          <w:rFonts w:ascii="Times New Roman" w:hAnsi="Times New Roman" w:cs="Times New Roman"/>
          <w:sz w:val="24"/>
          <w:szCs w:val="24"/>
        </w:rPr>
        <w:t>»,—</w:t>
      </w:r>
      <w:proofErr w:type="gramEnd"/>
      <w:r w:rsidRPr="003B4AB6">
        <w:rPr>
          <w:rFonts w:ascii="Times New Roman" w:hAnsi="Times New Roman" w:cs="Times New Roman"/>
          <w:sz w:val="24"/>
          <w:szCs w:val="24"/>
        </w:rPr>
        <w:t xml:space="preserve"> добавили в пресс-службе.</w:t>
      </w:r>
    </w:p>
    <w:p w14:paraId="5ADFDC54" w14:textId="77777777" w:rsidR="0072599C" w:rsidRPr="003B4AB6" w:rsidRDefault="0072599C" w:rsidP="00C1659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23A2C163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35E1B56D" w14:textId="77777777" w:rsidR="0072599C" w:rsidRPr="003B4AB6" w:rsidRDefault="0072599C" w:rsidP="003B4AB6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72599C" w:rsidRPr="003B4AB6" w:rsidSect="003159C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9C"/>
    <w:rsid w:val="003B4AB6"/>
    <w:rsid w:val="004270F4"/>
    <w:rsid w:val="004A221C"/>
    <w:rsid w:val="0072599C"/>
    <w:rsid w:val="007962D3"/>
    <w:rsid w:val="00C1659C"/>
    <w:rsid w:val="00E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62BB"/>
  <w15:chartTrackingRefBased/>
  <w15:docId w15:val="{6EF35F5B-E2AC-44C3-BE5C-919CAE8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59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59CA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7962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6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443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zeta.ru/business/2020/08/05/13179091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044433/evgeniia-pertceva/poroshok-vroz-dostavka-povsednevnykh-tovarov-mozhet-podorozhat-vdvoe" TargetMode="External"/><Relationship Id="rId5" Type="http://schemas.openxmlformats.org/officeDocument/2006/relationships/hyperlink" Target="https://iz.ru/1044485/dmitrii-grinkevich/gollandskie-zaboty-kto-postradaet-ot-novogo-nalogovogo-rezhima-s-niderlanda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g.ru/2020/08/05/glava-minselhoza-otrasl-apk-stala-odnim-iz-drajverov-ekonomiki-stran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</dc:creator>
  <cp:keywords/>
  <dc:description/>
  <cp:lastModifiedBy>Светлана Павловна Макаровских</cp:lastModifiedBy>
  <cp:revision>2</cp:revision>
  <dcterms:created xsi:type="dcterms:W3CDTF">2020-08-10T09:12:00Z</dcterms:created>
  <dcterms:modified xsi:type="dcterms:W3CDTF">2020-08-10T09:12:00Z</dcterms:modified>
</cp:coreProperties>
</file>