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8B" w:rsidRPr="0053668B" w:rsidRDefault="0053668B" w:rsidP="0053668B">
      <w:pPr>
        <w:pStyle w:val="a3"/>
        <w:ind w:firstLine="1134"/>
        <w:rPr>
          <w:rFonts w:ascii="Times New Roman" w:hAnsi="Times New Roman" w:cs="Times New Roman"/>
          <w:b/>
          <w:sz w:val="24"/>
          <w:szCs w:val="24"/>
        </w:rPr>
      </w:pPr>
      <w:bookmarkStart w:id="0" w:name="_GoBack"/>
      <w:bookmarkEnd w:id="0"/>
      <w:proofErr w:type="spellStart"/>
      <w:r w:rsidRPr="0053668B">
        <w:rPr>
          <w:rFonts w:ascii="Times New Roman" w:hAnsi="Times New Roman" w:cs="Times New Roman"/>
          <w:b/>
          <w:sz w:val="24"/>
          <w:szCs w:val="24"/>
        </w:rPr>
        <w:t>Мишустин</w:t>
      </w:r>
      <w:proofErr w:type="spellEnd"/>
      <w:r w:rsidRPr="0053668B">
        <w:rPr>
          <w:rFonts w:ascii="Times New Roman" w:hAnsi="Times New Roman" w:cs="Times New Roman"/>
          <w:b/>
          <w:sz w:val="24"/>
          <w:szCs w:val="24"/>
        </w:rPr>
        <w:t xml:space="preserve"> одобрил правила выдачи субсидий бизнесу на профилактику COVID-19</w:t>
      </w:r>
    </w:p>
    <w:p w:rsidR="00D51625" w:rsidRPr="0053668B" w:rsidRDefault="00E63495" w:rsidP="00D51625">
      <w:pPr>
        <w:pStyle w:val="a3"/>
        <w:ind w:firstLine="1134"/>
        <w:rPr>
          <w:rFonts w:ascii="Times New Roman" w:hAnsi="Times New Roman" w:cs="Times New Roman"/>
          <w:sz w:val="24"/>
          <w:szCs w:val="24"/>
        </w:rPr>
      </w:pPr>
      <w:hyperlink r:id="rId4" w:history="1">
        <w:r w:rsidR="0053668B" w:rsidRPr="00C8585A">
          <w:rPr>
            <w:rStyle w:val="a5"/>
            <w:rFonts w:ascii="Times New Roman" w:hAnsi="Times New Roman" w:cs="Times New Roman"/>
            <w:sz w:val="24"/>
            <w:szCs w:val="24"/>
          </w:rPr>
          <w:t>https://ria.ru/20200704/1573883079.html</w:t>
        </w:r>
      </w:hyperlink>
      <w:r w:rsidR="0053668B">
        <w:rPr>
          <w:rFonts w:ascii="Times New Roman" w:hAnsi="Times New Roman" w:cs="Times New Roman"/>
          <w:sz w:val="24"/>
          <w:szCs w:val="24"/>
        </w:rPr>
        <w:t xml:space="preserve">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Премьер-министр России Михаил </w:t>
      </w:r>
      <w:proofErr w:type="spellStart"/>
      <w:r w:rsidRPr="0053668B">
        <w:rPr>
          <w:rFonts w:ascii="Times New Roman" w:hAnsi="Times New Roman" w:cs="Times New Roman"/>
          <w:sz w:val="24"/>
          <w:szCs w:val="24"/>
        </w:rPr>
        <w:t>Мишустин</w:t>
      </w:r>
      <w:proofErr w:type="spellEnd"/>
      <w:r w:rsidRPr="0053668B">
        <w:rPr>
          <w:rFonts w:ascii="Times New Roman" w:hAnsi="Times New Roman" w:cs="Times New Roman"/>
          <w:sz w:val="24"/>
          <w:szCs w:val="24"/>
        </w:rPr>
        <w:t xml:space="preserve"> утвердил правила выдачи субсидий для бизнеса на профилактику </w:t>
      </w:r>
      <w:proofErr w:type="spellStart"/>
      <w:r w:rsidRPr="0053668B">
        <w:rPr>
          <w:rFonts w:ascii="Times New Roman" w:hAnsi="Times New Roman" w:cs="Times New Roman"/>
          <w:sz w:val="24"/>
          <w:szCs w:val="24"/>
        </w:rPr>
        <w:t>коронавирусной</w:t>
      </w:r>
      <w:proofErr w:type="spellEnd"/>
      <w:r w:rsidRPr="0053668B">
        <w:rPr>
          <w:rFonts w:ascii="Times New Roman" w:hAnsi="Times New Roman" w:cs="Times New Roman"/>
          <w:sz w:val="24"/>
          <w:szCs w:val="24"/>
        </w:rPr>
        <w:t xml:space="preserve"> инфекции, сообщает пресс-служба </w:t>
      </w:r>
      <w:proofErr w:type="spellStart"/>
      <w:r w:rsidRPr="0053668B">
        <w:rPr>
          <w:rFonts w:ascii="Times New Roman" w:hAnsi="Times New Roman" w:cs="Times New Roman"/>
          <w:sz w:val="24"/>
          <w:szCs w:val="24"/>
        </w:rPr>
        <w:t>кабмина</w:t>
      </w:r>
      <w:proofErr w:type="spellEnd"/>
      <w:r w:rsidRPr="0053668B">
        <w:rPr>
          <w:rFonts w:ascii="Times New Roman" w:hAnsi="Times New Roman" w:cs="Times New Roman"/>
          <w:sz w:val="24"/>
          <w:szCs w:val="24"/>
        </w:rPr>
        <w:t>.</w:t>
      </w:r>
    </w:p>
    <w:p w:rsidR="00D51625" w:rsidRPr="0053668B" w:rsidRDefault="0053668B" w:rsidP="0053668B">
      <w:pPr>
        <w:pStyle w:val="a3"/>
        <w:ind w:firstLine="1134"/>
        <w:rPr>
          <w:rFonts w:ascii="Times New Roman" w:hAnsi="Times New Roman" w:cs="Times New Roman"/>
          <w:sz w:val="24"/>
          <w:szCs w:val="24"/>
        </w:rPr>
      </w:pPr>
      <w:r>
        <w:rPr>
          <w:rFonts w:ascii="Times New Roman" w:hAnsi="Times New Roman" w:cs="Times New Roman"/>
          <w:sz w:val="24"/>
          <w:szCs w:val="24"/>
        </w:rPr>
        <w:t>На субсидию могут рассчитывать о</w:t>
      </w:r>
      <w:r w:rsidR="00D51625" w:rsidRPr="0053668B">
        <w:rPr>
          <w:rFonts w:ascii="Times New Roman" w:hAnsi="Times New Roman" w:cs="Times New Roman"/>
          <w:sz w:val="24"/>
          <w:szCs w:val="24"/>
        </w:rPr>
        <w:t>коло 500 тысяч малых и средних компаний, а также социально ориентированных некоммерческих организаций.</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Отмечается, что заявку на выплату можно будет подать с 15 июля по 15 августа через личный кабинет налогоплательщика. У организации, которая претендует на субсидию, не должно быть недоимки по налогам и страховым взносам, которая превышает три тысячи рублей. Кроме того, она не может проходить процедуру ликвидации или банкротства.</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На субсидию могут претендовать те, кто ведет бизнес гостеприимства, бытовых услуг, общественного питания, спорта и дополнительного образования, а также социально ориентированные НКО. Ее размер составит 15 тысяч рублей на первоначальные расходы и 6,5 тысяч рублей на каждого сотрудника организации по численности на май этого года.</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Подчеркивается, что необходимость выплат связана с требованиями </w:t>
      </w:r>
      <w:proofErr w:type="spellStart"/>
      <w:r w:rsidRPr="0053668B">
        <w:rPr>
          <w:rFonts w:ascii="Times New Roman" w:hAnsi="Times New Roman" w:cs="Times New Roman"/>
          <w:sz w:val="24"/>
          <w:szCs w:val="24"/>
        </w:rPr>
        <w:t>Роспотребнадзора</w:t>
      </w:r>
      <w:proofErr w:type="spellEnd"/>
      <w:r w:rsidRPr="0053668B">
        <w:rPr>
          <w:rFonts w:ascii="Times New Roman" w:hAnsi="Times New Roman" w:cs="Times New Roman"/>
          <w:sz w:val="24"/>
          <w:szCs w:val="24"/>
        </w:rPr>
        <w:t> по профилактике COVID-19. Согласно им, работающие с клиентами предприятия должны обеспечить сотрудников масками и перчатками, измерять им температуру и принять меры для соблюдения социальной дистанции.</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На дополнительные выплаты правительство России уже выделило 20 миллиардов рублей. Субсидия будет доступна компаниям, в которых занято около 1,8 миллиона человек.</w:t>
      </w:r>
    </w:p>
    <w:p w:rsidR="00D51625" w:rsidRPr="0053668B" w:rsidRDefault="00D51625" w:rsidP="00D51625">
      <w:pPr>
        <w:pStyle w:val="a3"/>
        <w:ind w:firstLine="1134"/>
        <w:rPr>
          <w:rFonts w:ascii="Times New Roman" w:hAnsi="Times New Roman" w:cs="Times New Roman"/>
          <w:sz w:val="24"/>
          <w:szCs w:val="24"/>
        </w:rPr>
      </w:pPr>
    </w:p>
    <w:p w:rsidR="00D51625" w:rsidRPr="0053668B" w:rsidRDefault="00D51625" w:rsidP="00D51625">
      <w:pPr>
        <w:pStyle w:val="a3"/>
        <w:ind w:firstLine="1134"/>
        <w:rPr>
          <w:rFonts w:ascii="Times New Roman" w:hAnsi="Times New Roman" w:cs="Times New Roman"/>
          <w:sz w:val="24"/>
          <w:szCs w:val="24"/>
        </w:rPr>
      </w:pPr>
    </w:p>
    <w:p w:rsidR="0053668B" w:rsidRPr="0053668B" w:rsidRDefault="0053668B" w:rsidP="0053668B">
      <w:pPr>
        <w:pStyle w:val="a3"/>
        <w:ind w:firstLine="1134"/>
        <w:rPr>
          <w:rFonts w:ascii="Times New Roman" w:hAnsi="Times New Roman" w:cs="Times New Roman"/>
          <w:b/>
          <w:sz w:val="24"/>
          <w:szCs w:val="24"/>
        </w:rPr>
      </w:pPr>
      <w:r w:rsidRPr="0053668B">
        <w:rPr>
          <w:rFonts w:ascii="Times New Roman" w:hAnsi="Times New Roman" w:cs="Times New Roman"/>
          <w:b/>
          <w:sz w:val="24"/>
          <w:szCs w:val="24"/>
        </w:rPr>
        <w:t>В Госдуме предложили расширить доступ к льготам для зарубежных инвесторов</w:t>
      </w:r>
    </w:p>
    <w:p w:rsidR="00D51625" w:rsidRPr="0053668B" w:rsidRDefault="00E63495" w:rsidP="00D51625">
      <w:pPr>
        <w:pStyle w:val="a3"/>
        <w:ind w:firstLine="1134"/>
        <w:rPr>
          <w:rFonts w:ascii="Times New Roman" w:hAnsi="Times New Roman" w:cs="Times New Roman"/>
          <w:sz w:val="24"/>
          <w:szCs w:val="24"/>
        </w:rPr>
      </w:pPr>
      <w:hyperlink r:id="rId5" w:history="1">
        <w:r w:rsidR="0053668B" w:rsidRPr="00C8585A">
          <w:rPr>
            <w:rStyle w:val="a5"/>
            <w:rFonts w:ascii="Times New Roman" w:hAnsi="Times New Roman" w:cs="Times New Roman"/>
            <w:sz w:val="24"/>
            <w:szCs w:val="24"/>
          </w:rPr>
          <w:t>https://www.rbc.ru/economics/06/07/2020/5efc973a9a7947a618e8f50b</w:t>
        </w:r>
      </w:hyperlink>
      <w:r w:rsidR="0053668B">
        <w:rPr>
          <w:rFonts w:ascii="Times New Roman" w:hAnsi="Times New Roman" w:cs="Times New Roman"/>
          <w:sz w:val="24"/>
          <w:szCs w:val="24"/>
        </w:rPr>
        <w:t xml:space="preserve">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В Госдуме разработан законопроект, облегчающий доступ к льготным ставкам налогов при выплатах за рубеж. Изменения затронут российские группы, у которых есть </w:t>
      </w:r>
      <w:proofErr w:type="spellStart"/>
      <w:r w:rsidRPr="0053668B">
        <w:rPr>
          <w:rFonts w:ascii="Times New Roman" w:hAnsi="Times New Roman" w:cs="Times New Roman"/>
          <w:sz w:val="24"/>
          <w:szCs w:val="24"/>
        </w:rPr>
        <w:t>субхолдинги</w:t>
      </w:r>
      <w:proofErr w:type="spellEnd"/>
      <w:r w:rsidRPr="0053668B">
        <w:rPr>
          <w:rFonts w:ascii="Times New Roman" w:hAnsi="Times New Roman" w:cs="Times New Roman"/>
          <w:sz w:val="24"/>
          <w:szCs w:val="24"/>
        </w:rPr>
        <w:t xml:space="preserve"> за границей, а также иностранных инвесторов</w:t>
      </w:r>
      <w:r w:rsidR="0053668B">
        <w:rPr>
          <w:rFonts w:ascii="Times New Roman" w:hAnsi="Times New Roman" w:cs="Times New Roman"/>
          <w:sz w:val="24"/>
          <w:szCs w:val="24"/>
        </w:rPr>
        <w:t xml:space="preserve"> </w:t>
      </w:r>
      <w:r w:rsidRPr="0053668B">
        <w:rPr>
          <w:rFonts w:ascii="Times New Roman" w:hAnsi="Times New Roman" w:cs="Times New Roman"/>
          <w:sz w:val="24"/>
          <w:szCs w:val="24"/>
        </w:rPr>
        <w:t>в российскую экономику.</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Наиболее важная из предложенных поправок предлагает приравнять косвенное участие в российских компаниях (когда, например, немецкий холдинг владеет российским активом через кипрский </w:t>
      </w:r>
      <w:proofErr w:type="spellStart"/>
      <w:r w:rsidRPr="0053668B">
        <w:rPr>
          <w:rFonts w:ascii="Times New Roman" w:hAnsi="Times New Roman" w:cs="Times New Roman"/>
          <w:sz w:val="24"/>
          <w:szCs w:val="24"/>
        </w:rPr>
        <w:t>субхолдинг</w:t>
      </w:r>
      <w:proofErr w:type="spellEnd"/>
      <w:r w:rsidRPr="0053668B">
        <w:rPr>
          <w:rFonts w:ascii="Times New Roman" w:hAnsi="Times New Roman" w:cs="Times New Roman"/>
          <w:sz w:val="24"/>
          <w:szCs w:val="24"/>
        </w:rPr>
        <w:t>) к прямому при получении налоговых льгот по международным соглашениям. Изменения также позволят расширить круг контролируемых иностранных компаний (КИК), прибыль которых можно будет освободить от налогообложения. Согласно НК, КИК — это компания за рубежом, сама не являющаяся налоговым резидентом России, но контролируемая российскими налоговыми резидентами — физическими или юридическими лицами.</w:t>
      </w:r>
    </w:p>
    <w:p w:rsid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Поправки в Налоговый кодекс подготовил председатель комитета Госдумы по бюджету и налогам Андрей Макаров. Они стали результатом совместной работы экспертов и бизнес-объединений на площадке Госдумы по «</w:t>
      </w:r>
      <w:proofErr w:type="spellStart"/>
      <w:r w:rsidRPr="0053668B">
        <w:rPr>
          <w:rFonts w:ascii="Times New Roman" w:hAnsi="Times New Roman" w:cs="Times New Roman"/>
          <w:sz w:val="24"/>
          <w:szCs w:val="24"/>
        </w:rPr>
        <w:t>донастройке</w:t>
      </w:r>
      <w:proofErr w:type="spellEnd"/>
      <w:r w:rsidRPr="0053668B">
        <w:rPr>
          <w:rFonts w:ascii="Times New Roman" w:hAnsi="Times New Roman" w:cs="Times New Roman"/>
          <w:sz w:val="24"/>
          <w:szCs w:val="24"/>
        </w:rPr>
        <w:t xml:space="preserve">» налоговой системы, отмечается в пояснительной записке. Правительство в заключении на законопроект концептуально поддержало изменения, указав на необходимость дополнительно предусмотреть меры защиты от манипулирования льготами для ухода от налогов.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«Действующее сейчас законодательство было написано в спешке. Доработка статуса контролируемых иностранных компаний (КИК) имеет огромное значение. Изменения позволят не считать </w:t>
      </w:r>
      <w:proofErr w:type="spellStart"/>
      <w:r w:rsidRPr="0053668B">
        <w:rPr>
          <w:rFonts w:ascii="Times New Roman" w:hAnsi="Times New Roman" w:cs="Times New Roman"/>
          <w:sz w:val="24"/>
          <w:szCs w:val="24"/>
        </w:rPr>
        <w:t>КИКами</w:t>
      </w:r>
      <w:proofErr w:type="spellEnd"/>
      <w:r w:rsidRPr="0053668B">
        <w:rPr>
          <w:rFonts w:ascii="Times New Roman" w:hAnsi="Times New Roman" w:cs="Times New Roman"/>
          <w:sz w:val="24"/>
          <w:szCs w:val="24"/>
        </w:rPr>
        <w:t xml:space="preserve"> многие холдинги, которые находятся в </w:t>
      </w:r>
      <w:r w:rsidRPr="0053668B">
        <w:rPr>
          <w:rFonts w:ascii="Times New Roman" w:hAnsi="Times New Roman" w:cs="Times New Roman"/>
          <w:sz w:val="24"/>
          <w:szCs w:val="24"/>
        </w:rPr>
        <w:lastRenderedPageBreak/>
        <w:t>абсолютно нормальных юрисдикциях, облагаются налогами на сопоставимом с Россией уровне и не являются офшорами, с которыми нужно бороться», — прокомментировал РБК планируемые изменения партнер КПМГ Михаил Орлов.</w:t>
      </w:r>
    </w:p>
    <w:p w:rsidR="0053668B" w:rsidRDefault="0053668B" w:rsidP="00D51625">
      <w:pPr>
        <w:pStyle w:val="a3"/>
        <w:ind w:firstLine="1134"/>
        <w:rPr>
          <w:rFonts w:ascii="Times New Roman" w:hAnsi="Times New Roman" w:cs="Times New Roman"/>
          <w:sz w:val="24"/>
          <w:szCs w:val="24"/>
        </w:rPr>
      </w:pPr>
    </w:p>
    <w:p w:rsidR="0053668B" w:rsidRDefault="0053668B" w:rsidP="00D51625">
      <w:pPr>
        <w:pStyle w:val="a3"/>
        <w:ind w:firstLine="1134"/>
        <w:rPr>
          <w:rFonts w:ascii="Times New Roman" w:hAnsi="Times New Roman" w:cs="Times New Roman"/>
          <w:sz w:val="24"/>
          <w:szCs w:val="24"/>
        </w:rPr>
      </w:pPr>
    </w:p>
    <w:p w:rsidR="0053668B" w:rsidRPr="0053668B" w:rsidRDefault="0053668B" w:rsidP="00D51625">
      <w:pPr>
        <w:pStyle w:val="a3"/>
        <w:ind w:firstLine="1134"/>
        <w:rPr>
          <w:rFonts w:ascii="Times New Roman" w:hAnsi="Times New Roman" w:cs="Times New Roman"/>
          <w:b/>
          <w:sz w:val="24"/>
          <w:szCs w:val="24"/>
        </w:rPr>
      </w:pPr>
      <w:r w:rsidRPr="0053668B">
        <w:rPr>
          <w:rFonts w:ascii="Times New Roman" w:hAnsi="Times New Roman" w:cs="Times New Roman"/>
          <w:b/>
          <w:sz w:val="24"/>
          <w:szCs w:val="24"/>
        </w:rPr>
        <w:t>Доля одобренных заявок на рефинансирование ипотеки упала вдвое</w:t>
      </w:r>
    </w:p>
    <w:p w:rsidR="00D51625" w:rsidRPr="0053668B" w:rsidRDefault="00E63495" w:rsidP="00D51625">
      <w:pPr>
        <w:pStyle w:val="a3"/>
        <w:ind w:firstLine="1134"/>
        <w:rPr>
          <w:rFonts w:ascii="Times New Roman" w:hAnsi="Times New Roman" w:cs="Times New Roman"/>
          <w:sz w:val="24"/>
          <w:szCs w:val="24"/>
        </w:rPr>
      </w:pPr>
      <w:hyperlink r:id="rId6" w:history="1">
        <w:r w:rsidR="0053668B" w:rsidRPr="00C8585A">
          <w:rPr>
            <w:rStyle w:val="a5"/>
            <w:rFonts w:ascii="Times New Roman" w:hAnsi="Times New Roman" w:cs="Times New Roman"/>
            <w:sz w:val="24"/>
            <w:szCs w:val="24"/>
          </w:rPr>
          <w:t>https://iz.ru/1031222/mariia-perevoshchikova/stavki-peredelany-dolia-odobrennykh-zaiavok-na-refinansirovanie-ipoteki-upala-vdvoe</w:t>
        </w:r>
      </w:hyperlink>
      <w:r w:rsidR="0053668B">
        <w:rPr>
          <w:rFonts w:ascii="Times New Roman" w:hAnsi="Times New Roman" w:cs="Times New Roman"/>
          <w:sz w:val="24"/>
          <w:szCs w:val="24"/>
        </w:rPr>
        <w:t xml:space="preserve"> </w:t>
      </w:r>
    </w:p>
    <w:p w:rsid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С начала года доля одобренных банками заявок на рефинансирование ипотеки сократилась с 45 до 23%. Об этом «Известиям» рассказали в крупных </w:t>
      </w:r>
      <w:proofErr w:type="spellStart"/>
      <w:r w:rsidRPr="0053668B">
        <w:rPr>
          <w:rFonts w:ascii="Times New Roman" w:hAnsi="Times New Roman" w:cs="Times New Roman"/>
          <w:sz w:val="24"/>
          <w:szCs w:val="24"/>
        </w:rPr>
        <w:t>риелторских</w:t>
      </w:r>
      <w:proofErr w:type="spellEnd"/>
      <w:r w:rsidRPr="0053668B">
        <w:rPr>
          <w:rFonts w:ascii="Times New Roman" w:hAnsi="Times New Roman" w:cs="Times New Roman"/>
          <w:sz w:val="24"/>
          <w:szCs w:val="24"/>
        </w:rPr>
        <w:t xml:space="preserve"> компаниях, информацию подтвердили в некоторых банках.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С 15 до 35% выросла доля желающих рефинансировать жилищный кредит и еще несколько месяцев назад имевших такую возможность, а сейчас потерявших ее. Дело в том, что на фоне кризиса банки стали снижать риски и вводить ограничения на эту услугу, в том числе для работников пострадавших сфер экономики. Рефинансирование позволяет заемщикам сэкономить сотни тысяч рублей, но средние ставки в целом остаются выше, чем по новым кредитам, отмечают эксперты.</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Рефинансирование по сути — новая ипотека, поэтому банки проверяют заемщика, как при выдаче кредита. При этом разница в процентных ставках помогает тем, кому удалось пройти эту процедуру, сэкономить сотни тысяч рублей, сказал «Известиям» директор федеральной </w:t>
      </w:r>
      <w:proofErr w:type="spellStart"/>
      <w:r w:rsidRPr="0053668B">
        <w:rPr>
          <w:rFonts w:ascii="Times New Roman" w:hAnsi="Times New Roman" w:cs="Times New Roman"/>
          <w:sz w:val="24"/>
          <w:szCs w:val="24"/>
        </w:rPr>
        <w:t>риелторской</w:t>
      </w:r>
      <w:proofErr w:type="spellEnd"/>
      <w:r w:rsidRPr="0053668B">
        <w:rPr>
          <w:rFonts w:ascii="Times New Roman" w:hAnsi="Times New Roman" w:cs="Times New Roman"/>
          <w:sz w:val="24"/>
          <w:szCs w:val="24"/>
        </w:rPr>
        <w:t xml:space="preserve"> компании «Этажи» Ильдар Хусаинов.</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Последние пять лет средняя ипотечная ставка постепенно снижалась. В 2015 году она составляла 14% годовых, напомнил управляющий партнер «</w:t>
      </w:r>
      <w:proofErr w:type="spellStart"/>
      <w:r w:rsidRPr="0053668B">
        <w:rPr>
          <w:rFonts w:ascii="Times New Roman" w:hAnsi="Times New Roman" w:cs="Times New Roman"/>
          <w:sz w:val="24"/>
          <w:szCs w:val="24"/>
        </w:rPr>
        <w:t>ВекторСтройФинанс</w:t>
      </w:r>
      <w:proofErr w:type="spellEnd"/>
      <w:r w:rsidRPr="0053668B">
        <w:rPr>
          <w:rFonts w:ascii="Times New Roman" w:hAnsi="Times New Roman" w:cs="Times New Roman"/>
          <w:sz w:val="24"/>
          <w:szCs w:val="24"/>
        </w:rPr>
        <w:t xml:space="preserve">» Андрей </w:t>
      </w:r>
      <w:proofErr w:type="spellStart"/>
      <w:r w:rsidRPr="0053668B">
        <w:rPr>
          <w:rFonts w:ascii="Times New Roman" w:hAnsi="Times New Roman" w:cs="Times New Roman"/>
          <w:sz w:val="24"/>
          <w:szCs w:val="24"/>
        </w:rPr>
        <w:t>Колочинский</w:t>
      </w:r>
      <w:proofErr w:type="spellEnd"/>
      <w:r w:rsidRPr="0053668B">
        <w:rPr>
          <w:rFonts w:ascii="Times New Roman" w:hAnsi="Times New Roman" w:cs="Times New Roman"/>
          <w:sz w:val="24"/>
          <w:szCs w:val="24"/>
        </w:rPr>
        <w:t xml:space="preserve">. В апреле 2020-го она достигла 8,32% в целом, а на новостройки — 6,94% (с учетом госпрограммы субсидирования ставок), рассказал вице-президент Ассоциации банков России Алексей </w:t>
      </w:r>
      <w:proofErr w:type="spellStart"/>
      <w:r w:rsidRPr="0053668B">
        <w:rPr>
          <w:rFonts w:ascii="Times New Roman" w:hAnsi="Times New Roman" w:cs="Times New Roman"/>
          <w:sz w:val="24"/>
          <w:szCs w:val="24"/>
        </w:rPr>
        <w:t>Войлуков</w:t>
      </w:r>
      <w:proofErr w:type="spellEnd"/>
      <w:r w:rsidRPr="0053668B">
        <w:rPr>
          <w:rFonts w:ascii="Times New Roman" w:hAnsi="Times New Roman" w:cs="Times New Roman"/>
          <w:sz w:val="24"/>
          <w:szCs w:val="24"/>
        </w:rPr>
        <w:t>.</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Рефинансировать ипотечные кредиты, взятые несколько лет назад, стало выгодно, поэтому спрос на услугу вырос. По оценкам «</w:t>
      </w:r>
      <w:proofErr w:type="spellStart"/>
      <w:r w:rsidRPr="0053668B">
        <w:rPr>
          <w:rFonts w:ascii="Times New Roman" w:hAnsi="Times New Roman" w:cs="Times New Roman"/>
          <w:sz w:val="24"/>
          <w:szCs w:val="24"/>
        </w:rPr>
        <w:t>Дом.РФ</w:t>
      </w:r>
      <w:proofErr w:type="spellEnd"/>
      <w:r w:rsidRPr="0053668B">
        <w:rPr>
          <w:rFonts w:ascii="Times New Roman" w:hAnsi="Times New Roman" w:cs="Times New Roman"/>
          <w:sz w:val="24"/>
          <w:szCs w:val="24"/>
        </w:rPr>
        <w:t xml:space="preserve">» и </w:t>
      </w:r>
      <w:proofErr w:type="spellStart"/>
      <w:r w:rsidRPr="0053668B">
        <w:rPr>
          <w:rFonts w:ascii="Times New Roman" w:hAnsi="Times New Roman" w:cs="Times New Roman"/>
          <w:sz w:val="24"/>
          <w:szCs w:val="24"/>
        </w:rPr>
        <w:t>Frank</w:t>
      </w:r>
      <w:proofErr w:type="spellEnd"/>
      <w:r w:rsidRPr="0053668B">
        <w:rPr>
          <w:rFonts w:ascii="Times New Roman" w:hAnsi="Times New Roman" w:cs="Times New Roman"/>
          <w:sz w:val="24"/>
          <w:szCs w:val="24"/>
        </w:rPr>
        <w:t xml:space="preserve"> RG, доля рефинансирования в общем объеме выданных жилищных займов за первые пять месяцев 2020 года составила 15,5%. В 2019-м средний показатель был равен 7%, напомнил Алексей </w:t>
      </w:r>
      <w:proofErr w:type="spellStart"/>
      <w:r w:rsidRPr="0053668B">
        <w:rPr>
          <w:rFonts w:ascii="Times New Roman" w:hAnsi="Times New Roman" w:cs="Times New Roman"/>
          <w:sz w:val="24"/>
          <w:szCs w:val="24"/>
        </w:rPr>
        <w:t>Войлуков</w:t>
      </w:r>
      <w:proofErr w:type="spellEnd"/>
      <w:r w:rsidRPr="0053668B">
        <w:rPr>
          <w:rFonts w:ascii="Times New Roman" w:hAnsi="Times New Roman" w:cs="Times New Roman"/>
          <w:sz w:val="24"/>
          <w:szCs w:val="24"/>
        </w:rPr>
        <w:t>.</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В кредитных организациях подтвердили тенденцию. C начала года объем рефинансирования ипотеки в Райффайзенбанке снизился, сказал «Известиям» руководитель направления по развитию ипотечного кредитования банка Антон Красильников. Это произошло из-за того, что сохраняется консервативная кредитная политика.</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Кредитоспособность заемщиков, безусловно, ухудшилась так же, как и финансовая стабильность бизнеса, ведь предприниматели и компании не получили запланированной выручки, а многие понесли существенные потери. Какие-то отрасли были полностью остановлены. Полный масштаб последствий, в том числе влияние кризиса на доходы физлиц, мы получим не ранее осени, поэтому наш банк сохраняет консервативную кредитную политику, — отметил Антон Красильников.</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Поток заявок на рефинансирование действительно вырос, но, когда ставки заметно снижаются, банкам требуются дополнительные усилия для проверки платежеспособности клиентов. Поэтому может падать процент одобрения, подчеркнул представитель одного из крупнейших российских банков.</w:t>
      </w:r>
    </w:p>
    <w:p w:rsidR="00D51625" w:rsidRDefault="00D51625" w:rsidP="00D51625">
      <w:pPr>
        <w:pStyle w:val="a3"/>
        <w:ind w:firstLine="1134"/>
        <w:rPr>
          <w:rFonts w:ascii="Times New Roman" w:hAnsi="Times New Roman" w:cs="Times New Roman"/>
          <w:sz w:val="24"/>
          <w:szCs w:val="24"/>
        </w:rPr>
      </w:pPr>
    </w:p>
    <w:p w:rsidR="0053668B" w:rsidRDefault="0053668B" w:rsidP="00D51625">
      <w:pPr>
        <w:pStyle w:val="a3"/>
        <w:ind w:firstLine="1134"/>
        <w:rPr>
          <w:rFonts w:ascii="Times New Roman" w:hAnsi="Times New Roman" w:cs="Times New Roman"/>
          <w:sz w:val="24"/>
          <w:szCs w:val="24"/>
        </w:rPr>
      </w:pPr>
    </w:p>
    <w:p w:rsidR="00D51625" w:rsidRPr="005125A9" w:rsidRDefault="005125A9" w:rsidP="00D51625">
      <w:pPr>
        <w:pStyle w:val="a3"/>
        <w:ind w:firstLine="1134"/>
        <w:rPr>
          <w:rFonts w:ascii="Times New Roman" w:hAnsi="Times New Roman" w:cs="Times New Roman"/>
          <w:b/>
          <w:sz w:val="24"/>
          <w:szCs w:val="24"/>
        </w:rPr>
      </w:pPr>
      <w:r w:rsidRPr="005125A9">
        <w:rPr>
          <w:rFonts w:ascii="Times New Roman" w:hAnsi="Times New Roman" w:cs="Times New Roman"/>
          <w:b/>
          <w:sz w:val="24"/>
          <w:szCs w:val="24"/>
        </w:rPr>
        <w:t xml:space="preserve">Около 30% предприятий малого бизнеса перешли на работу в электронной коммерции </w:t>
      </w:r>
    </w:p>
    <w:p w:rsidR="00D51625" w:rsidRPr="0053668B" w:rsidRDefault="005125A9" w:rsidP="00D51625">
      <w:pPr>
        <w:pStyle w:val="a3"/>
        <w:ind w:firstLine="1134"/>
        <w:rPr>
          <w:rFonts w:ascii="Times New Roman" w:hAnsi="Times New Roman" w:cs="Times New Roman"/>
          <w:sz w:val="24"/>
          <w:szCs w:val="24"/>
        </w:rPr>
      </w:pPr>
      <w:hyperlink r:id="rId7" w:history="1">
        <w:r w:rsidRPr="00C8585A">
          <w:rPr>
            <w:rStyle w:val="a5"/>
            <w:rFonts w:ascii="Times New Roman" w:hAnsi="Times New Roman" w:cs="Times New Roman"/>
            <w:sz w:val="24"/>
            <w:szCs w:val="24"/>
          </w:rPr>
          <w:t>https://iz.ru/1031067/natalia-ilina/ne-vykhodi-iz-servisa-30-msp-v-pandemiiu-podkliuchili-onlain-platezhi</w:t>
        </w:r>
      </w:hyperlink>
      <w:r>
        <w:rPr>
          <w:rFonts w:ascii="Times New Roman" w:hAnsi="Times New Roman" w:cs="Times New Roman"/>
          <w:sz w:val="24"/>
          <w:szCs w:val="24"/>
        </w:rPr>
        <w:t xml:space="preserve">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lastRenderedPageBreak/>
        <w:t xml:space="preserve">Около 30% предприятий малого бизнеса перешли на работу в электронной коммерции, и каждый второй бизнес (52%) ожидает роста онлайн-трансакций в будущем. Об этом «Известиям» рассказал глава </w:t>
      </w:r>
      <w:proofErr w:type="spellStart"/>
      <w:r w:rsidRPr="0053668B">
        <w:rPr>
          <w:rFonts w:ascii="Times New Roman" w:hAnsi="Times New Roman" w:cs="Times New Roman"/>
          <w:sz w:val="24"/>
          <w:szCs w:val="24"/>
        </w:rPr>
        <w:t>Visa</w:t>
      </w:r>
      <w:proofErr w:type="spellEnd"/>
      <w:r w:rsidRPr="0053668B">
        <w:rPr>
          <w:rFonts w:ascii="Times New Roman" w:hAnsi="Times New Roman" w:cs="Times New Roman"/>
          <w:sz w:val="24"/>
          <w:szCs w:val="24"/>
        </w:rPr>
        <w:t xml:space="preserve"> в России Михаил </w:t>
      </w:r>
      <w:proofErr w:type="spellStart"/>
      <w:r w:rsidRPr="0053668B">
        <w:rPr>
          <w:rFonts w:ascii="Times New Roman" w:hAnsi="Times New Roman" w:cs="Times New Roman"/>
          <w:sz w:val="24"/>
          <w:szCs w:val="24"/>
        </w:rPr>
        <w:t>Бернер</w:t>
      </w:r>
      <w:proofErr w:type="spellEnd"/>
      <w:r w:rsidRPr="0053668B">
        <w:rPr>
          <w:rFonts w:ascii="Times New Roman" w:hAnsi="Times New Roman" w:cs="Times New Roman"/>
          <w:sz w:val="24"/>
          <w:szCs w:val="24"/>
        </w:rPr>
        <w:t xml:space="preserve">, ссылаясь на исследование платежной системы. Он отметил, что в активную фазу распространения </w:t>
      </w:r>
      <w:proofErr w:type="spellStart"/>
      <w:r w:rsidRPr="0053668B">
        <w:rPr>
          <w:rFonts w:ascii="Times New Roman" w:hAnsi="Times New Roman" w:cs="Times New Roman"/>
          <w:sz w:val="24"/>
          <w:szCs w:val="24"/>
        </w:rPr>
        <w:t>коронавируса</w:t>
      </w:r>
      <w:proofErr w:type="spellEnd"/>
      <w:r w:rsidRPr="0053668B">
        <w:rPr>
          <w:rFonts w:ascii="Times New Roman" w:hAnsi="Times New Roman" w:cs="Times New Roman"/>
          <w:sz w:val="24"/>
          <w:szCs w:val="24"/>
        </w:rPr>
        <w:t xml:space="preserve"> 38% россиян впервые купили продукты онлайн и около 23% стали пользоваться доставкой провизии на дом.</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«Тинькофф» зафиксировал прирост новых заявок на подключение интернет-</w:t>
      </w:r>
      <w:proofErr w:type="spellStart"/>
      <w:r w:rsidRPr="0053668B">
        <w:rPr>
          <w:rFonts w:ascii="Times New Roman" w:hAnsi="Times New Roman" w:cs="Times New Roman"/>
          <w:sz w:val="24"/>
          <w:szCs w:val="24"/>
        </w:rPr>
        <w:t>эквайринга</w:t>
      </w:r>
      <w:proofErr w:type="spellEnd"/>
      <w:r w:rsidRPr="0053668B">
        <w:rPr>
          <w:rFonts w:ascii="Times New Roman" w:hAnsi="Times New Roman" w:cs="Times New Roman"/>
          <w:sz w:val="24"/>
          <w:szCs w:val="24"/>
        </w:rPr>
        <w:t xml:space="preserve"> на 30% еще в марте, в апреле-мае повышенный спрос сохранился. В банке отметили, что в апреле в два раза увеличилось число заявок на услугу «магазин без сайта» для реализации через </w:t>
      </w:r>
      <w:proofErr w:type="spellStart"/>
      <w:r w:rsidRPr="0053668B">
        <w:rPr>
          <w:rFonts w:ascii="Times New Roman" w:hAnsi="Times New Roman" w:cs="Times New Roman"/>
          <w:sz w:val="24"/>
          <w:szCs w:val="24"/>
        </w:rPr>
        <w:t>соцсети</w:t>
      </w:r>
      <w:proofErr w:type="spellEnd"/>
      <w:r w:rsidRPr="0053668B">
        <w:rPr>
          <w:rFonts w:ascii="Times New Roman" w:hAnsi="Times New Roman" w:cs="Times New Roman"/>
          <w:sz w:val="24"/>
          <w:szCs w:val="24"/>
        </w:rPr>
        <w:t>. Продавец генерирует ссылку, клиент проходит по ней и оплачивает свой заказ онлайн через специальную форму, пояснили в «Тинькофф».</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За первые пять месяцев 2020-го число новых компаний, подключивших прием онлайн-платежей через «</w:t>
      </w:r>
      <w:proofErr w:type="spellStart"/>
      <w:r w:rsidRPr="0053668B">
        <w:rPr>
          <w:rFonts w:ascii="Times New Roman" w:hAnsi="Times New Roman" w:cs="Times New Roman"/>
          <w:sz w:val="24"/>
          <w:szCs w:val="24"/>
        </w:rPr>
        <w:t>Яндекс.Кассу</w:t>
      </w:r>
      <w:proofErr w:type="spellEnd"/>
      <w:r w:rsidRPr="0053668B">
        <w:rPr>
          <w:rFonts w:ascii="Times New Roman" w:hAnsi="Times New Roman" w:cs="Times New Roman"/>
          <w:sz w:val="24"/>
          <w:szCs w:val="24"/>
        </w:rPr>
        <w:t>», выросло в среднем на 33% относительно числа обращений в прошлом году, рассказал «Известиям» представитель сервиса. Пиком стал апрель, когда рост составил 54% по отношению к 2019-му. Оборот онлайн-платежей малого и среднего бизнеса также ежемесячно растет, подчеркнули в «</w:t>
      </w:r>
      <w:proofErr w:type="spellStart"/>
      <w:r w:rsidRPr="0053668B">
        <w:rPr>
          <w:rFonts w:ascii="Times New Roman" w:hAnsi="Times New Roman" w:cs="Times New Roman"/>
          <w:sz w:val="24"/>
          <w:szCs w:val="24"/>
        </w:rPr>
        <w:t>Яндекс.Касса</w:t>
      </w:r>
      <w:proofErr w:type="spellEnd"/>
      <w:r w:rsidRPr="0053668B">
        <w:rPr>
          <w:rFonts w:ascii="Times New Roman" w:hAnsi="Times New Roman" w:cs="Times New Roman"/>
          <w:sz w:val="24"/>
          <w:szCs w:val="24"/>
        </w:rPr>
        <w:t>».</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Поскольку точки продаж закрылись, другого варианта вести свое дело, кроме как принимать оплату через сайт, просто не было, напомнил глава бизнес-объединения «Опора России» Александр Калинин. Пандемия подтолкнула развитие онлайн-торговли, позволила малым предприятиям приобрести новых клиентов. С другой стороны, на рынок вышли и крупные игроки (</w:t>
      </w:r>
      <w:proofErr w:type="spellStart"/>
      <w:r w:rsidRPr="0053668B">
        <w:rPr>
          <w:rFonts w:ascii="Times New Roman" w:hAnsi="Times New Roman" w:cs="Times New Roman"/>
          <w:sz w:val="24"/>
          <w:szCs w:val="24"/>
        </w:rPr>
        <w:t>Ozon</w:t>
      </w:r>
      <w:proofErr w:type="spellEnd"/>
      <w:r w:rsidRPr="0053668B">
        <w:rPr>
          <w:rFonts w:ascii="Times New Roman" w:hAnsi="Times New Roman" w:cs="Times New Roman"/>
          <w:sz w:val="24"/>
          <w:szCs w:val="24"/>
        </w:rPr>
        <w:t xml:space="preserve">, </w:t>
      </w:r>
      <w:proofErr w:type="spellStart"/>
      <w:r w:rsidRPr="0053668B">
        <w:rPr>
          <w:rFonts w:ascii="Times New Roman" w:hAnsi="Times New Roman" w:cs="Times New Roman"/>
          <w:sz w:val="24"/>
          <w:szCs w:val="24"/>
        </w:rPr>
        <w:t>Wildberries</w:t>
      </w:r>
      <w:proofErr w:type="spellEnd"/>
      <w:r w:rsidRPr="0053668B">
        <w:rPr>
          <w:rFonts w:ascii="Times New Roman" w:hAnsi="Times New Roman" w:cs="Times New Roman"/>
          <w:sz w:val="24"/>
          <w:szCs w:val="24"/>
        </w:rPr>
        <w:t>, Сбербанк), произошла монополизация электронной коммерции, подчеркнул Александр Калинин.</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 Сейчас многие представители малого бизнеса, кто раньше это откладывал, заказывают новые сайты, </w:t>
      </w:r>
      <w:proofErr w:type="spellStart"/>
      <w:r w:rsidRPr="0053668B">
        <w:rPr>
          <w:rFonts w:ascii="Times New Roman" w:hAnsi="Times New Roman" w:cs="Times New Roman"/>
          <w:sz w:val="24"/>
          <w:szCs w:val="24"/>
        </w:rPr>
        <w:t>лендинги</w:t>
      </w:r>
      <w:proofErr w:type="spellEnd"/>
      <w:r w:rsidRPr="0053668B">
        <w:rPr>
          <w:rFonts w:ascii="Times New Roman" w:hAnsi="Times New Roman" w:cs="Times New Roman"/>
          <w:sz w:val="24"/>
          <w:szCs w:val="24"/>
        </w:rPr>
        <w:t xml:space="preserve"> с перекидкой на мобильные приложения, ставят CRM-системы. Главное, чтобы на рынке сохранился спрос со стороны покупателей, — отметил Александр Калинин.</w:t>
      </w:r>
    </w:p>
    <w:p w:rsidR="005125A9" w:rsidRDefault="005125A9" w:rsidP="00D51625">
      <w:pPr>
        <w:pStyle w:val="a3"/>
        <w:ind w:firstLine="1134"/>
        <w:rPr>
          <w:rFonts w:ascii="Times New Roman" w:hAnsi="Times New Roman" w:cs="Times New Roman"/>
          <w:sz w:val="24"/>
          <w:szCs w:val="24"/>
        </w:rPr>
      </w:pPr>
    </w:p>
    <w:p w:rsidR="005125A9" w:rsidRDefault="005125A9" w:rsidP="00D51625">
      <w:pPr>
        <w:pStyle w:val="a3"/>
        <w:ind w:firstLine="1134"/>
        <w:rPr>
          <w:rFonts w:ascii="Times New Roman" w:hAnsi="Times New Roman" w:cs="Times New Roman"/>
          <w:sz w:val="24"/>
          <w:szCs w:val="24"/>
        </w:rPr>
      </w:pPr>
    </w:p>
    <w:p w:rsidR="005125A9" w:rsidRPr="005125A9" w:rsidRDefault="005125A9" w:rsidP="00D51625">
      <w:pPr>
        <w:pStyle w:val="a3"/>
        <w:ind w:firstLine="1134"/>
        <w:rPr>
          <w:rFonts w:ascii="Times New Roman" w:hAnsi="Times New Roman" w:cs="Times New Roman"/>
          <w:b/>
          <w:sz w:val="24"/>
          <w:szCs w:val="24"/>
        </w:rPr>
      </w:pPr>
      <w:r w:rsidRPr="005125A9">
        <w:rPr>
          <w:rFonts w:ascii="Times New Roman" w:hAnsi="Times New Roman" w:cs="Times New Roman"/>
          <w:b/>
          <w:sz w:val="24"/>
          <w:szCs w:val="24"/>
        </w:rPr>
        <w:t>Схема предоставления кредитных каникул в рамках госпрограммы с отсрочкой оформления документов на 90 дней создала проблемы для многих заемщиков и банков</w:t>
      </w:r>
    </w:p>
    <w:p w:rsidR="00D51625" w:rsidRPr="0053668B" w:rsidRDefault="00E63495" w:rsidP="00D51625">
      <w:pPr>
        <w:pStyle w:val="a3"/>
        <w:ind w:firstLine="1134"/>
        <w:rPr>
          <w:rFonts w:ascii="Times New Roman" w:hAnsi="Times New Roman" w:cs="Times New Roman"/>
          <w:sz w:val="24"/>
          <w:szCs w:val="24"/>
        </w:rPr>
      </w:pPr>
      <w:hyperlink r:id="rId8" w:history="1">
        <w:r w:rsidR="005125A9" w:rsidRPr="00C8585A">
          <w:rPr>
            <w:rStyle w:val="a5"/>
            <w:rFonts w:ascii="Times New Roman" w:hAnsi="Times New Roman" w:cs="Times New Roman"/>
            <w:sz w:val="24"/>
            <w:szCs w:val="24"/>
          </w:rPr>
          <w:t>https://www.kommersant.ru/doc/4405896</w:t>
        </w:r>
      </w:hyperlink>
      <w:r w:rsidR="005125A9">
        <w:rPr>
          <w:rFonts w:ascii="Times New Roman" w:hAnsi="Times New Roman" w:cs="Times New Roman"/>
          <w:sz w:val="24"/>
          <w:szCs w:val="24"/>
        </w:rPr>
        <w:t xml:space="preserve">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Госпрограмма кредитных каникул для пострадавших от пандемии </w:t>
      </w:r>
      <w:proofErr w:type="spellStart"/>
      <w:r w:rsidRPr="0053668B">
        <w:rPr>
          <w:rFonts w:ascii="Times New Roman" w:hAnsi="Times New Roman" w:cs="Times New Roman"/>
          <w:sz w:val="24"/>
          <w:szCs w:val="24"/>
        </w:rPr>
        <w:t>коронавируса</w:t>
      </w:r>
      <w:proofErr w:type="spellEnd"/>
      <w:r w:rsidRPr="0053668B">
        <w:rPr>
          <w:rFonts w:ascii="Times New Roman" w:hAnsi="Times New Roman" w:cs="Times New Roman"/>
          <w:sz w:val="24"/>
          <w:szCs w:val="24"/>
        </w:rPr>
        <w:t xml:space="preserve"> (в рамках закона 106-ФЗ) заработала в начале апреля. Граждане сразу начали массово обращаться к банкам за отсрочками. Каникулы кредитор мог одобрить сразу, но закон давал 90 дней на представление доказательств снижения доходов заемщика на 30% и более. Если подтвердить это не удается, кредит считается просроченным на три месяца со штрафами, пенями и записью в кредитную историю.</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Банкиры отмечают, что многие воспользовавшиеся каникулами в рамках 106-ФЗ документы в итоге и не представили. По словам директора департамента кредитования розничного бизнеса Абсолют-банка Елены </w:t>
      </w:r>
      <w:proofErr w:type="spellStart"/>
      <w:r w:rsidRPr="0053668B">
        <w:rPr>
          <w:rFonts w:ascii="Times New Roman" w:hAnsi="Times New Roman" w:cs="Times New Roman"/>
          <w:sz w:val="24"/>
          <w:szCs w:val="24"/>
        </w:rPr>
        <w:t>Ковырзиной</w:t>
      </w:r>
      <w:proofErr w:type="spellEnd"/>
      <w:r w:rsidRPr="0053668B">
        <w:rPr>
          <w:rFonts w:ascii="Times New Roman" w:hAnsi="Times New Roman" w:cs="Times New Roman"/>
          <w:sz w:val="24"/>
          <w:szCs w:val="24"/>
        </w:rPr>
        <w:t>, доля клиентов, которые подтвердили снижение дохода, составляет около 55%, но большая часть документов не соответствует требованиям 106-ФЗ. В Сбербанке на данный момент снижение дохода на 30% подтвердили не более 40% клиентов, получивших каникулы в соответствии с 106-ФЗ. Аналогичная ситуация и в других банках.</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Регулятор уже признал проблему и в конце прошлой недели опубликовал письмо для кредиторов. Вероятны ситуации, когда заемщик не сможет в срок подтвердить снижение дохода на 30%, говорится в документе, но для добросовестных заемщиков невозможность подтвердить право на использование кредитных каникул не должна оборачиваться болезненными последствиями.</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Регулятор предлагает банкам реструктурировать эти кредиты по их собственным программам.</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lastRenderedPageBreak/>
        <w:t>Банкиры утверждают, что уже делают шаги в этом направлении. «Понимая, что не все клиенты смогут представить документы, подтверждающие снижение доходов более чем на 30%, мы заранее начали работу по переводу таких клиентов на подходящие собственные программы банка по реструктуризации задолженности»,— рассказали “Ъ” в Сбербанке. В ВТБ сообщили, что при отключении каникул по 106-ФЗ банк «исходит из клиентской ситуации», в том числе предлагая свои программы каникул. «По собственной программе ВТБ уже пошел навстречу заемщикам и отменил для подавляющего большинства из них требование представлять документы, подтверждающие снижение дохода»,— пояснили в банке.</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Но, подчеркивает управляющий директор по </w:t>
      </w:r>
      <w:proofErr w:type="spellStart"/>
      <w:r w:rsidRPr="0053668B">
        <w:rPr>
          <w:rFonts w:ascii="Times New Roman" w:hAnsi="Times New Roman" w:cs="Times New Roman"/>
          <w:sz w:val="24"/>
          <w:szCs w:val="24"/>
        </w:rPr>
        <w:t>валидации</w:t>
      </w:r>
      <w:proofErr w:type="spellEnd"/>
      <w:r w:rsidRPr="0053668B">
        <w:rPr>
          <w:rFonts w:ascii="Times New Roman" w:hAnsi="Times New Roman" w:cs="Times New Roman"/>
          <w:sz w:val="24"/>
          <w:szCs w:val="24"/>
        </w:rPr>
        <w:t xml:space="preserve"> агентства «Эксперт РА» Юрий Беликов, для заемщиков собственные программы реструктуризации банков могут обернуться менее благоприятными последствиями: «Это касается стоимости реструктуризации, ее сроков и отражения соответствующих фактов в кредитной истории».</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Кроме того, по мнению Юрия Беликова, на просрочку неизбежно выйдет некоторая часть </w:t>
      </w:r>
      <w:proofErr w:type="spellStart"/>
      <w:r w:rsidRPr="0053668B">
        <w:rPr>
          <w:rFonts w:ascii="Times New Roman" w:hAnsi="Times New Roman" w:cs="Times New Roman"/>
          <w:sz w:val="24"/>
          <w:szCs w:val="24"/>
        </w:rPr>
        <w:t>реструктуризаций</w:t>
      </w:r>
      <w:proofErr w:type="spellEnd"/>
      <w:r w:rsidRPr="0053668B">
        <w:rPr>
          <w:rFonts w:ascii="Times New Roman" w:hAnsi="Times New Roman" w:cs="Times New Roman"/>
          <w:sz w:val="24"/>
          <w:szCs w:val="24"/>
        </w:rPr>
        <w:t>, проведенных как по государственной, так и по собственным банковским программам, осенью начнется отражение потерь по ним. Уже сейчас видно, отмечает эксперт, что банки аккумулируют буфер капитала для абсорбирования этих убытков в приоритетном порядке по сравнению с приростом доходных активов.</w:t>
      </w:r>
    </w:p>
    <w:p w:rsidR="005125A9" w:rsidRDefault="005125A9" w:rsidP="00D51625">
      <w:pPr>
        <w:pStyle w:val="a3"/>
        <w:ind w:firstLine="1134"/>
        <w:rPr>
          <w:rFonts w:ascii="Times New Roman" w:hAnsi="Times New Roman" w:cs="Times New Roman"/>
          <w:sz w:val="24"/>
          <w:szCs w:val="24"/>
        </w:rPr>
      </w:pPr>
    </w:p>
    <w:p w:rsidR="005125A9" w:rsidRDefault="005125A9" w:rsidP="00D51625">
      <w:pPr>
        <w:pStyle w:val="a3"/>
        <w:ind w:firstLine="1134"/>
        <w:rPr>
          <w:rFonts w:ascii="Times New Roman" w:hAnsi="Times New Roman" w:cs="Times New Roman"/>
          <w:sz w:val="24"/>
          <w:szCs w:val="24"/>
        </w:rPr>
      </w:pPr>
    </w:p>
    <w:p w:rsidR="005125A9" w:rsidRPr="005125A9" w:rsidRDefault="005125A9" w:rsidP="005125A9">
      <w:pPr>
        <w:pStyle w:val="a3"/>
        <w:ind w:firstLine="1134"/>
        <w:rPr>
          <w:rFonts w:ascii="Times New Roman" w:hAnsi="Times New Roman" w:cs="Times New Roman"/>
          <w:b/>
          <w:sz w:val="24"/>
          <w:szCs w:val="24"/>
        </w:rPr>
      </w:pPr>
      <w:r w:rsidRPr="005125A9">
        <w:rPr>
          <w:rFonts w:ascii="Times New Roman" w:hAnsi="Times New Roman" w:cs="Times New Roman"/>
          <w:b/>
          <w:sz w:val="24"/>
          <w:szCs w:val="24"/>
        </w:rPr>
        <w:t>Конституционный суд не допустил взыскания ущерба после прощения недоимки</w:t>
      </w:r>
    </w:p>
    <w:p w:rsidR="00D51625" w:rsidRPr="0053668B" w:rsidRDefault="00E63495" w:rsidP="00D51625">
      <w:pPr>
        <w:pStyle w:val="a3"/>
        <w:ind w:firstLine="1134"/>
        <w:rPr>
          <w:rFonts w:ascii="Times New Roman" w:hAnsi="Times New Roman" w:cs="Times New Roman"/>
          <w:sz w:val="24"/>
          <w:szCs w:val="24"/>
        </w:rPr>
      </w:pPr>
      <w:hyperlink r:id="rId9" w:history="1">
        <w:r w:rsidR="005125A9" w:rsidRPr="00C8585A">
          <w:rPr>
            <w:rStyle w:val="a5"/>
            <w:rFonts w:ascii="Times New Roman" w:hAnsi="Times New Roman" w:cs="Times New Roman"/>
            <w:sz w:val="24"/>
            <w:szCs w:val="24"/>
          </w:rPr>
          <w:t>https://www.kommersant.ru/doc/4405947</w:t>
        </w:r>
      </w:hyperlink>
      <w:r w:rsidR="005125A9">
        <w:rPr>
          <w:rFonts w:ascii="Times New Roman" w:hAnsi="Times New Roman" w:cs="Times New Roman"/>
          <w:sz w:val="24"/>
          <w:szCs w:val="24"/>
        </w:rPr>
        <w:t xml:space="preserve">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Конституционный суд (КС) признал недопустимым исковое взыскание с физических лиц сумм возмещения вреда бюджету от неуплаты налогов, в случае если ранее задолженность была списана самими налоговиками как безнадежная. По мнению юристов, такое решение КС может изменить подход судов по спорам, возникающим из-за ошибок госорганов, когда налоги взыскиваются уже по нормам не Налогового, а Гражданского кодекса в качестве возмещения причиненного бюджету вреда.</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КС опубликовал в пятницу постановление о проверке конституционности нормы Гражданского кодекса (ГК) об общих основаниях ответственности за причинение вреда (п. 1 ст. 15 и ст. 1064 ГК). Поводом стало многолетнее противостояние предпринимателя из Хакасии Ильи Машукова с правоохранителями и налоговиками. За 2011–2013 годы налоговая инспекция </w:t>
      </w:r>
      <w:proofErr w:type="spellStart"/>
      <w:r w:rsidRPr="0053668B">
        <w:rPr>
          <w:rFonts w:ascii="Times New Roman" w:hAnsi="Times New Roman" w:cs="Times New Roman"/>
          <w:sz w:val="24"/>
          <w:szCs w:val="24"/>
        </w:rPr>
        <w:t>доначислила</w:t>
      </w:r>
      <w:proofErr w:type="spellEnd"/>
      <w:r w:rsidRPr="0053668B">
        <w:rPr>
          <w:rFonts w:ascii="Times New Roman" w:hAnsi="Times New Roman" w:cs="Times New Roman"/>
          <w:sz w:val="24"/>
          <w:szCs w:val="24"/>
        </w:rPr>
        <w:t xml:space="preserve"> бизнесмену, занимавшемуся угольными перевозками, НДС в размере 37,5 млн руб.— вычеты, которые он заявлял, были признаны необоснованными. Итогом судебных противостояний с налоговиками в мае 2016 года стало признание недоимки безнадежной к взысканию, и </w:t>
      </w:r>
      <w:proofErr w:type="spellStart"/>
      <w:r w:rsidRPr="0053668B">
        <w:rPr>
          <w:rFonts w:ascii="Times New Roman" w:hAnsi="Times New Roman" w:cs="Times New Roman"/>
          <w:sz w:val="24"/>
          <w:szCs w:val="24"/>
        </w:rPr>
        <w:t>доначисленная</w:t>
      </w:r>
      <w:proofErr w:type="spellEnd"/>
      <w:r w:rsidRPr="0053668B">
        <w:rPr>
          <w:rFonts w:ascii="Times New Roman" w:hAnsi="Times New Roman" w:cs="Times New Roman"/>
          <w:sz w:val="24"/>
          <w:szCs w:val="24"/>
        </w:rPr>
        <w:t xml:space="preserve"> сумма была списана. Однако в сентябре 2016 года иск о взыскании ущерба бюджету по ГК подал уже прокурор Абакана. В итоге долгих разбирательств сумма в размере 37,5 млн была взыскана судом.</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КС постановил, что это решение в отношении заявителя подлежит пересмотру. Суд указал, что предприниматели не должны нести ответственность за упущения налоговых органов, которые действуют в интересах государственной казны. Списание недоимки является конечной фазой освобождения от налоговой обязанности.</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Сами же оспоренные нормы ГК суд посчитал не противоречащими Конституции, поскольку они не предполагают взыскания списанной недоимки для возмещения вреда бюджету.</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По словам источника “Ъ” в ФНС, по сути, КС установил невозможность взыскания в исковом порядке через механизм возмещения вреда сумм, по которым есть </w:t>
      </w:r>
      <w:r w:rsidRPr="0053668B">
        <w:rPr>
          <w:rFonts w:ascii="Times New Roman" w:hAnsi="Times New Roman" w:cs="Times New Roman"/>
          <w:sz w:val="24"/>
          <w:szCs w:val="24"/>
        </w:rPr>
        <w:lastRenderedPageBreak/>
        <w:t>решение о признании их безнадежными. «Это логичная и понятная позиция»,— сказал источник “Ъ”.</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По словам руководителя группы уголовно-правовой защиты по налоговым преступлениям </w:t>
      </w:r>
      <w:proofErr w:type="spellStart"/>
      <w:r w:rsidRPr="0053668B">
        <w:rPr>
          <w:rFonts w:ascii="Times New Roman" w:hAnsi="Times New Roman" w:cs="Times New Roman"/>
          <w:sz w:val="24"/>
          <w:szCs w:val="24"/>
        </w:rPr>
        <w:t>Bryan</w:t>
      </w:r>
      <w:proofErr w:type="spellEnd"/>
      <w:r w:rsidRPr="0053668B">
        <w:rPr>
          <w:rFonts w:ascii="Times New Roman" w:hAnsi="Times New Roman" w:cs="Times New Roman"/>
          <w:sz w:val="24"/>
          <w:szCs w:val="24"/>
        </w:rPr>
        <w:t xml:space="preserve"> </w:t>
      </w:r>
      <w:proofErr w:type="spellStart"/>
      <w:r w:rsidRPr="0053668B">
        <w:rPr>
          <w:rFonts w:ascii="Times New Roman" w:hAnsi="Times New Roman" w:cs="Times New Roman"/>
          <w:sz w:val="24"/>
          <w:szCs w:val="24"/>
        </w:rPr>
        <w:t>Cave</w:t>
      </w:r>
      <w:proofErr w:type="spellEnd"/>
      <w:r w:rsidRPr="0053668B">
        <w:rPr>
          <w:rFonts w:ascii="Times New Roman" w:hAnsi="Times New Roman" w:cs="Times New Roman"/>
          <w:sz w:val="24"/>
          <w:szCs w:val="24"/>
        </w:rPr>
        <w:t xml:space="preserve"> </w:t>
      </w:r>
      <w:proofErr w:type="spellStart"/>
      <w:r w:rsidRPr="0053668B">
        <w:rPr>
          <w:rFonts w:ascii="Times New Roman" w:hAnsi="Times New Roman" w:cs="Times New Roman"/>
          <w:sz w:val="24"/>
          <w:szCs w:val="24"/>
        </w:rPr>
        <w:t>Leighton</w:t>
      </w:r>
      <w:proofErr w:type="spellEnd"/>
      <w:r w:rsidRPr="0053668B">
        <w:rPr>
          <w:rFonts w:ascii="Times New Roman" w:hAnsi="Times New Roman" w:cs="Times New Roman"/>
          <w:sz w:val="24"/>
          <w:szCs w:val="24"/>
        </w:rPr>
        <w:t xml:space="preserve"> </w:t>
      </w:r>
      <w:proofErr w:type="spellStart"/>
      <w:r w:rsidRPr="0053668B">
        <w:rPr>
          <w:rFonts w:ascii="Times New Roman" w:hAnsi="Times New Roman" w:cs="Times New Roman"/>
          <w:sz w:val="24"/>
          <w:szCs w:val="24"/>
        </w:rPr>
        <w:t>Paisner</w:t>
      </w:r>
      <w:proofErr w:type="spellEnd"/>
      <w:r w:rsidRPr="0053668B">
        <w:rPr>
          <w:rFonts w:ascii="Times New Roman" w:hAnsi="Times New Roman" w:cs="Times New Roman"/>
          <w:sz w:val="24"/>
          <w:szCs w:val="24"/>
        </w:rPr>
        <w:t xml:space="preserve"> Александра Ерасова, практика взыскания налогов через механизм возмещения вреда от налоговых преступлений довольно распространена. «Наступила эра персональной ответственности руководства и собственников бизнеса за налоговые долги компаний. В 2014–2015 годах появились судебные акты Верховного суда по двум таким делам, закрепившие возможность взыскания недоплаченных компаниями налогов с виновных физлиц, после чего практика предъявления таких исков начала быстро расти, и в большинстве случаев налоговые органы успешно взыскивают с физических лиц налоги, которые должны были заплатить компании»,— рассказывает эксперт. Решение КС он назвал правильным с правовой точки зрения, поскольку предъявлением исков о взыскании вреда от налоговых преступлений «нельзя устранять огрехи налоговиков, которые не смогли взыскать недоимку в административном порядке».</w:t>
      </w:r>
    </w:p>
    <w:p w:rsidR="00D51625" w:rsidRDefault="00D51625" w:rsidP="00D51625">
      <w:pPr>
        <w:pStyle w:val="a3"/>
        <w:ind w:firstLine="1134"/>
        <w:rPr>
          <w:rFonts w:ascii="Times New Roman" w:hAnsi="Times New Roman" w:cs="Times New Roman"/>
          <w:sz w:val="24"/>
          <w:szCs w:val="24"/>
        </w:rPr>
      </w:pPr>
    </w:p>
    <w:p w:rsidR="00D51625" w:rsidRPr="0053668B" w:rsidRDefault="00D51625" w:rsidP="00D51625">
      <w:pPr>
        <w:pStyle w:val="a3"/>
        <w:ind w:firstLine="1134"/>
        <w:rPr>
          <w:rFonts w:ascii="Times New Roman" w:hAnsi="Times New Roman" w:cs="Times New Roman"/>
          <w:sz w:val="24"/>
          <w:szCs w:val="24"/>
        </w:rPr>
      </w:pPr>
    </w:p>
    <w:p w:rsidR="005125A9" w:rsidRPr="005125A9" w:rsidRDefault="005125A9" w:rsidP="005125A9">
      <w:pPr>
        <w:pStyle w:val="a3"/>
        <w:ind w:firstLine="1134"/>
        <w:rPr>
          <w:rFonts w:ascii="Times New Roman" w:hAnsi="Times New Roman" w:cs="Times New Roman"/>
          <w:b/>
          <w:sz w:val="24"/>
          <w:szCs w:val="24"/>
        </w:rPr>
      </w:pPr>
      <w:r w:rsidRPr="005125A9">
        <w:rPr>
          <w:rFonts w:ascii="Times New Roman" w:hAnsi="Times New Roman" w:cs="Times New Roman"/>
          <w:b/>
          <w:sz w:val="24"/>
          <w:szCs w:val="24"/>
        </w:rPr>
        <w:t>В начале 2020 года партии сократили расходы</w:t>
      </w:r>
    </w:p>
    <w:p w:rsidR="00D51625" w:rsidRPr="0053668B" w:rsidRDefault="00E63495" w:rsidP="00D51625">
      <w:pPr>
        <w:pStyle w:val="a3"/>
        <w:ind w:firstLine="1134"/>
        <w:rPr>
          <w:rFonts w:ascii="Times New Roman" w:hAnsi="Times New Roman" w:cs="Times New Roman"/>
          <w:sz w:val="24"/>
          <w:szCs w:val="24"/>
        </w:rPr>
      </w:pPr>
      <w:hyperlink r:id="rId10" w:history="1">
        <w:r w:rsidR="005125A9" w:rsidRPr="00C8585A">
          <w:rPr>
            <w:rStyle w:val="a5"/>
            <w:rFonts w:ascii="Times New Roman" w:hAnsi="Times New Roman" w:cs="Times New Roman"/>
            <w:sz w:val="24"/>
            <w:szCs w:val="24"/>
          </w:rPr>
          <w:t>https://www.kommersant.ru/doc/4405942</w:t>
        </w:r>
      </w:hyperlink>
      <w:r w:rsidR="005125A9">
        <w:rPr>
          <w:rFonts w:ascii="Times New Roman" w:hAnsi="Times New Roman" w:cs="Times New Roman"/>
          <w:sz w:val="24"/>
          <w:szCs w:val="24"/>
        </w:rPr>
        <w:t xml:space="preserve"> </w:t>
      </w:r>
    </w:p>
    <w:p w:rsidR="005125A9"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Центризбирком опубликовал первый в 2020 году квартальный отчет о доходах и расходах политических партий. </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Больше всех денег в первом квартале 2020 года, согласно отчету ЦИКа, получила «Единая Россия» — 5,2 млрд руб., из них 4,3 млрд руб. поступило из федерального бюджета, еще 855 млн руб. пожертвовали компании. На втором месте КПРФ с 1,08 млрд руб.: за исключением полутора сотен тысяч, пожертвованных гражданами и организациями, вся сумма получена из бюджета. На счет ЛДПР поступило 1,06 млрд руб., из них 1,051 млрд руб. бюджетных денег, 300 тыс. руб.— пожертвования </w:t>
      </w:r>
      <w:proofErr w:type="spellStart"/>
      <w:r w:rsidRPr="0053668B">
        <w:rPr>
          <w:rFonts w:ascii="Times New Roman" w:hAnsi="Times New Roman" w:cs="Times New Roman"/>
          <w:sz w:val="24"/>
          <w:szCs w:val="24"/>
        </w:rPr>
        <w:t>юрлиц</w:t>
      </w:r>
      <w:proofErr w:type="spellEnd"/>
      <w:r w:rsidRPr="0053668B">
        <w:rPr>
          <w:rFonts w:ascii="Times New Roman" w:hAnsi="Times New Roman" w:cs="Times New Roman"/>
          <w:sz w:val="24"/>
          <w:szCs w:val="24"/>
        </w:rPr>
        <w:t>. «Справедливая Россия» получила 498,8 млн руб.: 497,8 млн руб.— из бюджета, 1 млн руб. пожертвовали граждане.</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Среди непарламентских партий самый большой доход у «Яблока» — 41,862 млн руб. Почти вся сумма — пожертвования </w:t>
      </w:r>
      <w:proofErr w:type="spellStart"/>
      <w:r w:rsidRPr="0053668B">
        <w:rPr>
          <w:rFonts w:ascii="Times New Roman" w:hAnsi="Times New Roman" w:cs="Times New Roman"/>
          <w:sz w:val="24"/>
          <w:szCs w:val="24"/>
        </w:rPr>
        <w:t>юрлиц</w:t>
      </w:r>
      <w:proofErr w:type="spellEnd"/>
      <w:r w:rsidRPr="0053668B">
        <w:rPr>
          <w:rFonts w:ascii="Times New Roman" w:hAnsi="Times New Roman" w:cs="Times New Roman"/>
          <w:sz w:val="24"/>
          <w:szCs w:val="24"/>
        </w:rPr>
        <w:t>, еще 60 тыс. руб. перевели граждане.</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Менее 10 млн руб. за первую декаду 2020 года получили Российская партия пенсионеров за социальную справедливость, Партия дела, Партия роста, Партия возрождения России и «Родина» (за счет пожертвований компаний), а также «Коммунисты России» (за счет членских взносов), «Гражданская платформа» (за счет пожертвований от частных лиц). Партия народной свободы (ПАРНАС) получила 899,7 тыс. руб.— все деньги переведены частными лицами.</w:t>
      </w:r>
    </w:p>
    <w:p w:rsidR="00D51625" w:rsidRPr="0053668B"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В сравнении с данными на первый квартал прошлого года общие доходы ЕР выросли на 600 млн руб., КПРФ — снизились на 100 млн руб., ЛДПР и СР — остались на прежнем уровне. «Яблоко» по сравнению с началом прошлого года стало богаче на 9 млн руб. Единороссы оказались также самыми экономными: с прошлого года на счету партии осталось 818,2 млн руб. КПРФ сохранила почти вдвое меньше денег — 497,7 млн руб., ЛДПР — 306 млн руб., «Справедливая Россия» — 7,8 млн руб. «Яблоко» не потратило с прошлого года 26,7 млн руб. На конец отчетного периода у «Единой России» по-прежнему находилась большая сумма — 4,7 млрд руб., а у КПРФ и ЛДПР осталось даже больше денег, чем поступило — 1,2 млрд и 1,08 млрд соответственно. Больше всех из парламентских партий потратилась «Справедливая Россия», на чьем счету осталось 289,6 млн руб. Непарламентские партии потратили от половины до всей суммы поступлений.</w:t>
      </w:r>
    </w:p>
    <w:p w:rsidR="00D51625" w:rsidRDefault="00D51625" w:rsidP="00D51625">
      <w:pPr>
        <w:pStyle w:val="a3"/>
        <w:ind w:firstLine="1134"/>
        <w:rPr>
          <w:rFonts w:ascii="Times New Roman" w:hAnsi="Times New Roman" w:cs="Times New Roman"/>
          <w:sz w:val="24"/>
          <w:szCs w:val="24"/>
        </w:rPr>
      </w:pPr>
      <w:r w:rsidRPr="0053668B">
        <w:rPr>
          <w:rFonts w:ascii="Times New Roman" w:hAnsi="Times New Roman" w:cs="Times New Roman"/>
          <w:sz w:val="24"/>
          <w:szCs w:val="24"/>
        </w:rPr>
        <w:t xml:space="preserve">Отметим, новые малые партии, в том числе «За правду» Захара </w:t>
      </w:r>
      <w:proofErr w:type="spellStart"/>
      <w:r w:rsidRPr="0053668B">
        <w:rPr>
          <w:rFonts w:ascii="Times New Roman" w:hAnsi="Times New Roman" w:cs="Times New Roman"/>
          <w:sz w:val="24"/>
          <w:szCs w:val="24"/>
        </w:rPr>
        <w:t>Прилепина</w:t>
      </w:r>
      <w:proofErr w:type="spellEnd"/>
      <w:r w:rsidRPr="0053668B">
        <w:rPr>
          <w:rFonts w:ascii="Times New Roman" w:hAnsi="Times New Roman" w:cs="Times New Roman"/>
          <w:sz w:val="24"/>
          <w:szCs w:val="24"/>
        </w:rPr>
        <w:t xml:space="preserve"> и «Новые люди» владельца косметического бренда </w:t>
      </w:r>
      <w:proofErr w:type="spellStart"/>
      <w:r w:rsidRPr="0053668B">
        <w:rPr>
          <w:rFonts w:ascii="Times New Roman" w:hAnsi="Times New Roman" w:cs="Times New Roman"/>
          <w:sz w:val="24"/>
          <w:szCs w:val="24"/>
        </w:rPr>
        <w:t>Faberlic</w:t>
      </w:r>
      <w:proofErr w:type="spellEnd"/>
      <w:r w:rsidRPr="0053668B">
        <w:rPr>
          <w:rFonts w:ascii="Times New Roman" w:hAnsi="Times New Roman" w:cs="Times New Roman"/>
          <w:sz w:val="24"/>
          <w:szCs w:val="24"/>
        </w:rPr>
        <w:t xml:space="preserve"> Алексея Нечаева, отчитались о </w:t>
      </w:r>
      <w:r w:rsidRPr="0053668B">
        <w:rPr>
          <w:rFonts w:ascii="Times New Roman" w:hAnsi="Times New Roman" w:cs="Times New Roman"/>
          <w:sz w:val="24"/>
          <w:szCs w:val="24"/>
        </w:rPr>
        <w:lastRenderedPageBreak/>
        <w:t xml:space="preserve">нулевых финансовых поступлениях и расходах. По мнению Евгения Минченко, малые партии не указали расходы в первой декаде 2020 года, поскольку практически не вели активности. «У "Новых людей" видна достаточно затратная рекламная кампания, но в целом малые партии живут от выборов к выборам: для них расходы первого квартала не показательны. Пик активности приходится на второй-третий квартал, когда выдвигаются кандидаты, начинается избирательная кампания и так далее». </w:t>
      </w:r>
    </w:p>
    <w:p w:rsidR="005125A9" w:rsidRPr="0053668B" w:rsidRDefault="005125A9" w:rsidP="00D51625">
      <w:pPr>
        <w:pStyle w:val="a3"/>
        <w:ind w:firstLine="1134"/>
        <w:rPr>
          <w:rFonts w:ascii="Times New Roman" w:hAnsi="Times New Roman" w:cs="Times New Roman"/>
          <w:sz w:val="24"/>
          <w:szCs w:val="24"/>
        </w:rPr>
      </w:pPr>
    </w:p>
    <w:sectPr w:rsidR="005125A9" w:rsidRPr="0053668B" w:rsidSect="008471AC">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35"/>
    <w:rsid w:val="00072E8D"/>
    <w:rsid w:val="000E68C1"/>
    <w:rsid w:val="00127635"/>
    <w:rsid w:val="002B3D35"/>
    <w:rsid w:val="0032280F"/>
    <w:rsid w:val="00351DDF"/>
    <w:rsid w:val="004E354C"/>
    <w:rsid w:val="005125A9"/>
    <w:rsid w:val="0053668B"/>
    <w:rsid w:val="00553465"/>
    <w:rsid w:val="007B7DEC"/>
    <w:rsid w:val="009E3DC0"/>
    <w:rsid w:val="00D51625"/>
    <w:rsid w:val="00D719D4"/>
    <w:rsid w:val="00E63495"/>
    <w:rsid w:val="00E85FAE"/>
    <w:rsid w:val="00F332FF"/>
    <w:rsid w:val="00FE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92C3C-47C6-452B-B728-9F1C72C4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471AC"/>
    <w:pPr>
      <w:spacing w:after="0" w:line="240" w:lineRule="auto"/>
    </w:pPr>
    <w:rPr>
      <w:rFonts w:ascii="Consolas" w:hAnsi="Consolas" w:cs="Consolas"/>
      <w:sz w:val="21"/>
      <w:szCs w:val="21"/>
    </w:rPr>
  </w:style>
  <w:style w:type="character" w:customStyle="1" w:styleId="a4">
    <w:name w:val="Текст Знак"/>
    <w:basedOn w:val="a0"/>
    <w:link w:val="a3"/>
    <w:uiPriority w:val="99"/>
    <w:rsid w:val="008471AC"/>
    <w:rPr>
      <w:rFonts w:ascii="Consolas" w:hAnsi="Consolas" w:cs="Consolas"/>
      <w:sz w:val="21"/>
      <w:szCs w:val="21"/>
    </w:rPr>
  </w:style>
  <w:style w:type="character" w:styleId="a5">
    <w:name w:val="Hyperlink"/>
    <w:basedOn w:val="a0"/>
    <w:uiPriority w:val="99"/>
    <w:unhideWhenUsed/>
    <w:rsid w:val="00536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405896" TargetMode="External"/><Relationship Id="rId3" Type="http://schemas.openxmlformats.org/officeDocument/2006/relationships/webSettings" Target="webSettings.xml"/><Relationship Id="rId7" Type="http://schemas.openxmlformats.org/officeDocument/2006/relationships/hyperlink" Target="https://iz.ru/1031067/natalia-ilina/ne-vykhodi-iz-servisa-30-msp-v-pandemiiu-podkliuchili-onlain-platezh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ru/1031222/mariia-perevoshchikova/stavki-peredelany-dolia-odobrennykh-zaiavok-na-refinansirovanie-ipoteki-upala-vdvoe" TargetMode="External"/><Relationship Id="rId11" Type="http://schemas.openxmlformats.org/officeDocument/2006/relationships/fontTable" Target="fontTable.xml"/><Relationship Id="rId5" Type="http://schemas.openxmlformats.org/officeDocument/2006/relationships/hyperlink" Target="https://www.rbc.ru/economics/06/07/2020/5efc973a9a7947a618e8f50b" TargetMode="External"/><Relationship Id="rId10" Type="http://schemas.openxmlformats.org/officeDocument/2006/relationships/hyperlink" Target="https://www.kommersant.ru/doc/4405942" TargetMode="External"/><Relationship Id="rId4" Type="http://schemas.openxmlformats.org/officeDocument/2006/relationships/hyperlink" Target="https://ria.ru/20200704/1573883079.html" TargetMode="External"/><Relationship Id="rId9" Type="http://schemas.openxmlformats.org/officeDocument/2006/relationships/hyperlink" Target="https://www.kommersant.ru/doc/4405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2020-07-08T04:58:00Z</dcterms:created>
  <dcterms:modified xsi:type="dcterms:W3CDTF">2020-07-08T04:58:00Z</dcterms:modified>
</cp:coreProperties>
</file>