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B0" w:rsidRPr="00ED7EB0" w:rsidRDefault="00ED7EB0" w:rsidP="00ED7EB0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ED7EB0">
        <w:rPr>
          <w:rFonts w:ascii="Times New Roman" w:hAnsi="Times New Roman" w:cs="Times New Roman"/>
          <w:b/>
          <w:sz w:val="24"/>
          <w:szCs w:val="24"/>
        </w:rPr>
        <w:t>Минэкономразвития готовит новый инструмент развития городских территорий</w:t>
      </w:r>
    </w:p>
    <w:p w:rsidR="00DC4C15" w:rsidRPr="00A06F7B" w:rsidRDefault="00ED7EB0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727B">
          <w:rPr>
            <w:rStyle w:val="a5"/>
            <w:rFonts w:ascii="Times New Roman" w:hAnsi="Times New Roman" w:cs="Times New Roman"/>
            <w:sz w:val="24"/>
            <w:szCs w:val="24"/>
          </w:rPr>
          <w:t>https://tass.ru/ekonomika/9327745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Минэкономразвития прорабатывает новый инструмент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редевелопмента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 городских территорий, направленный на создание правовых и экономических условий для реализации знаковых пилотных проектов, говорится в сообщении пресс-службы министерства.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В Минэкономразвития отмечают, что инструмент нацелен на преображение депрессивных городских территорий и общественных пространств, а также на стимулирование реновации ветхого жилого фонда и увеличение доли качественных предложений на рынке недвижимости.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"Одним из преимуществ нового механизма должно стать существенное сокращение сроков градостроительной подготовки строительства", - добавляют в министерстве.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Согласно анализу, проведенному Минэкономразвития, существующий инструмент по комплексному развитию территории не востребован муниципалитетами, такие зоны установлены в правилах землепользования и застройки 154 городских поселений и округов, что составляет 7,3% от их общего числа.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Отмечается также, что действующие механизмы реализации проектов комплексного развития территории не позволяют распространить территорию проекта на общественные пространства и имеют ряд ограничительных критериев (50% территории проекта, должна иметь признаки "депрессивности").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D7EB0" w:rsidRPr="00ED7EB0" w:rsidRDefault="00ED7EB0" w:rsidP="00DC4C15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ED7EB0">
        <w:rPr>
          <w:rFonts w:ascii="Times New Roman" w:hAnsi="Times New Roman" w:cs="Times New Roman"/>
          <w:b/>
          <w:sz w:val="24"/>
          <w:szCs w:val="24"/>
        </w:rPr>
        <w:t>Вступил в силу закон о мониторинге страны происхождения при закупке товаров</w:t>
      </w:r>
    </w:p>
    <w:p w:rsidR="00ED7EB0" w:rsidRDefault="00ED7EB0" w:rsidP="00ED7EB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727B">
          <w:rPr>
            <w:rStyle w:val="a5"/>
            <w:rFonts w:ascii="Times New Roman" w:hAnsi="Times New Roman" w:cs="Times New Roman"/>
            <w:sz w:val="24"/>
            <w:szCs w:val="24"/>
          </w:rPr>
          <w:t>https://tass.ru/ekonomika/9326519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Страна происхождения товара должна быть указана в договоре, заключаемом по закону "О закупках товаров, работ, услуг отдельными видами юридических лиц" (№ 223-ФЗ). Соответствующие изменения вступают в силу в понедельник.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"При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товара", - следует из федерального закона № 250-ФЗ, принятого 31 августа текущего года и теперь вступившего в силу.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Правительство РФ наделено правом устанавливать минимальную долю закупок товаров российского происхождения, работ, услуг, выполняемых, оказываемых российскими лицами, которую заказчики 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 xml:space="preserve"> будут выполнить.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Как ранее отмечал председатель правительства РФ Михаил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, обязательное включение в договоры информации о стране происхождения товара "будет способствовать продвижению отечественной продукции при осуществлении закупок, в том числе в рамках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 и при реализации национальных проектов". По его словам, это также "создаст благоприятные условия для предприятий российского бизнеса и увеличения объема их продукции".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D7EB0" w:rsidRPr="00ED7EB0" w:rsidRDefault="00ED7EB0" w:rsidP="00ED7EB0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ED7EB0">
        <w:rPr>
          <w:rFonts w:ascii="Times New Roman" w:hAnsi="Times New Roman" w:cs="Times New Roman"/>
          <w:b/>
          <w:sz w:val="24"/>
          <w:szCs w:val="24"/>
        </w:rPr>
        <w:t xml:space="preserve">Минэкономики </w:t>
      </w:r>
      <w:r w:rsidRPr="00ED7EB0">
        <w:rPr>
          <w:rFonts w:ascii="Times New Roman" w:hAnsi="Times New Roman" w:cs="Times New Roman"/>
          <w:b/>
          <w:sz w:val="24"/>
          <w:szCs w:val="24"/>
        </w:rPr>
        <w:t xml:space="preserve">улучшило прогноз по экономическому спаду в </w:t>
      </w:r>
      <w:r w:rsidRPr="00ED7EB0">
        <w:rPr>
          <w:rFonts w:ascii="Times New Roman" w:hAnsi="Times New Roman" w:cs="Times New Roman"/>
          <w:b/>
          <w:sz w:val="24"/>
          <w:szCs w:val="24"/>
        </w:rPr>
        <w:t>2020 го</w:t>
      </w:r>
      <w:r w:rsidRPr="00ED7EB0">
        <w:rPr>
          <w:rFonts w:ascii="Times New Roman" w:hAnsi="Times New Roman" w:cs="Times New Roman"/>
          <w:b/>
          <w:sz w:val="24"/>
          <w:szCs w:val="24"/>
        </w:rPr>
        <w:t>ду</w:t>
      </w:r>
    </w:p>
    <w:p w:rsidR="00DC4C15" w:rsidRPr="00A06F7B" w:rsidRDefault="00ED7EB0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3727B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https://www.kommersant.ru/doc/4474275?from=main_4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В бюджетном прогнозе Минэкономики в сентябре ожидаются существенно лучшие оценки спада 2020 года, чем предполагалось ранее</w:t>
      </w:r>
      <w:proofErr w:type="gramStart"/>
      <w:r w:rsidR="00ED7E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7EB0">
        <w:rPr>
          <w:rFonts w:ascii="Times New Roman" w:hAnsi="Times New Roman" w:cs="Times New Roman"/>
          <w:sz w:val="24"/>
          <w:szCs w:val="24"/>
        </w:rPr>
        <w:t xml:space="preserve"> Р</w:t>
      </w:r>
      <w:r w:rsidRPr="00A06F7B">
        <w:rPr>
          <w:rFonts w:ascii="Times New Roman" w:hAnsi="Times New Roman" w:cs="Times New Roman"/>
          <w:sz w:val="24"/>
          <w:szCs w:val="24"/>
        </w:rPr>
        <w:t>абочие данные прогноза</w:t>
      </w:r>
      <w:r w:rsidR="00ED7EB0">
        <w:rPr>
          <w:rFonts w:ascii="Times New Roman" w:hAnsi="Times New Roman" w:cs="Times New Roman"/>
          <w:sz w:val="24"/>
          <w:szCs w:val="24"/>
        </w:rPr>
        <w:t xml:space="preserve"> </w:t>
      </w:r>
      <w:r w:rsidRPr="00A06F7B">
        <w:rPr>
          <w:rFonts w:ascii="Times New Roman" w:hAnsi="Times New Roman" w:cs="Times New Roman"/>
          <w:sz w:val="24"/>
          <w:szCs w:val="24"/>
        </w:rPr>
        <w:t xml:space="preserve">предусматривают спад ВВП по году в 3,9% против 5% в ранних версиях и снижение инвестиций на 6,6% вместо 12%. Причина — более позитивные в сравнении с </w:t>
      </w:r>
      <w:r w:rsidRPr="00A06F7B">
        <w:rPr>
          <w:rFonts w:ascii="Times New Roman" w:hAnsi="Times New Roman" w:cs="Times New Roman"/>
          <w:sz w:val="24"/>
          <w:szCs w:val="24"/>
        </w:rPr>
        <w:lastRenderedPageBreak/>
        <w:t>ожиданиями итоги второго квартала, в первую очередь внутренний спрос, и более быстрое восстановление летом 2020 года.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«Оценка ситуации существенно лучше, че</w:t>
      </w:r>
      <w:r w:rsidR="00ED7EB0">
        <w:rPr>
          <w:rFonts w:ascii="Times New Roman" w:hAnsi="Times New Roman" w:cs="Times New Roman"/>
          <w:sz w:val="24"/>
          <w:szCs w:val="24"/>
        </w:rPr>
        <w:t xml:space="preserve">м мы делали два месяца назад, - заявил министр экономики Максим Решетников. - </w:t>
      </w:r>
      <w:r w:rsidRPr="00A06F7B">
        <w:rPr>
          <w:rFonts w:ascii="Times New Roman" w:hAnsi="Times New Roman" w:cs="Times New Roman"/>
          <w:sz w:val="24"/>
          <w:szCs w:val="24"/>
        </w:rPr>
        <w:t>Экономика восстанавливается неплохо относительно наших ожиданий».</w:t>
      </w:r>
    </w:p>
    <w:p w:rsidR="00DC4C15" w:rsidRPr="00A06F7B" w:rsidRDefault="00ED7EB0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C4C15" w:rsidRPr="00A06F7B">
        <w:rPr>
          <w:rFonts w:ascii="Times New Roman" w:hAnsi="Times New Roman" w:cs="Times New Roman"/>
          <w:sz w:val="24"/>
          <w:szCs w:val="24"/>
        </w:rPr>
        <w:t>сновные изменения в прогнозе — во внутреннем спросе: в июньской версии предполагалось, что розница в 2020 году сократится на 5,2%, инвестиции — на 12%. В августовской версии прогноз снижения оборотов розницы — 4,2%. Это во многом производное от изменения оценки падения реальных зарплат (рост в августовской версии по 2020 году на 1,5% и рост совокупного ФОТ на 3,4% против июньских ожиданий падения зарплат</w:t>
      </w:r>
      <w:proofErr w:type="gramEnd"/>
      <w:r w:rsidR="00DC4C15" w:rsidRPr="00A06F7B">
        <w:rPr>
          <w:rFonts w:ascii="Times New Roman" w:hAnsi="Times New Roman" w:cs="Times New Roman"/>
          <w:sz w:val="24"/>
          <w:szCs w:val="24"/>
        </w:rPr>
        <w:t xml:space="preserve"> за год на 3,9% и снижения ФОТ на 1,5%). </w:t>
      </w:r>
      <w:proofErr w:type="gramStart"/>
      <w:r w:rsidR="00DC4C15" w:rsidRPr="00A06F7B">
        <w:rPr>
          <w:rFonts w:ascii="Times New Roman" w:hAnsi="Times New Roman" w:cs="Times New Roman"/>
          <w:sz w:val="24"/>
          <w:szCs w:val="24"/>
        </w:rPr>
        <w:t>Кроме этого, уже первые (вероятно, косвенные) данные о динамике предпринимательских доходов во втором квартале позволили Минэкономики улучшить прогноз снижения реальных располагаемых доходов — с 3,8% падения в 2020 году в июньской версии до 3% в августовской.</w:t>
      </w:r>
      <w:proofErr w:type="gramEnd"/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Кроме этого, Минэкономики учло более быстрое восстановление экономики в июле—августе, в июне 2020 года еще не была очевидна будущая динамика спада и реакция экономики на масштабные меры поддержки правительством (как и ее реальный объем). Это 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отразилось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 xml:space="preserve"> в том числе на динамике реальных зарплат — они в апреле сократились на 2% год к году, после чего вернулись к росту темпом 1%. При этом ведомство с осторожностью относится к оценке летнего быстрого восстановления: оно отчасти определялось отложенным спросом и особенностями внутреннего спроса при закрытых границах.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Наконец, важный момент в прогнозе — пересмотр оценки наблюдаемого и будущего спада инвестиций. Минэкономики предполагает, что их снижение в первом полугодии на 4% будет продолжено, поскольку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инвестпрограммы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 в компаниях инертны. Эффекты пересмотра прогноза на 2020 год влияют и на цифры 2021–2023 годов: так, предполагается, что в 2021 году инвестиции будут расти на 3,9%, в 2022 году — на 5,3%, в 2023 году — на 5,1%. Пик годовой динамики ВВП 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 xml:space="preserve"> достигнут в 2022 году — 3,4% и снижение до 3% в 2023 году. Предполагается, что на докризисные показатели ВВП вернется осенью 2021 года, в третьем квартале.</w:t>
      </w:r>
    </w:p>
    <w:p w:rsidR="00DC4C15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C4C15" w:rsidRPr="00A06F7B" w:rsidRDefault="00ED7EB0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D7EB0" w:rsidRPr="00ED7EB0" w:rsidRDefault="00ED7EB0" w:rsidP="00ED7EB0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ED7EB0">
        <w:rPr>
          <w:rFonts w:ascii="Times New Roman" w:hAnsi="Times New Roman" w:cs="Times New Roman"/>
          <w:b/>
          <w:sz w:val="24"/>
          <w:szCs w:val="24"/>
        </w:rPr>
        <w:t>КПРФ пожаловалась в Верховный суд на трехдневное голосование</w:t>
      </w:r>
    </w:p>
    <w:p w:rsidR="00DC4C15" w:rsidRPr="00A06F7B" w:rsidRDefault="00ED7EB0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3727B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https://www.kommersant.ru/doc/4474272?from=main_10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FA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ПРФ пр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>осит Верховный суд (ВС) отменить постановление Центризбиркома (ЦИК) о трехдневном голосовании на выборах 13 сентября. Коммунисты считают, что этот документ основан на поправках к законодательству, принятых уже после начала избирательной кампании.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Как говорится в иске, зарегистрированном в ВС 27 августа, постановление ЦИКа от 24 июля «противоречит нормативным правовым актам, имеющим большую юридическую силу». Так, по закону «Об основных гарантиях избирательных прав» срок полномочий органов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 истекает во второе воскресенье сентября, а старт досрочного голосования за два дня до этого противоречит требованиям закона, считают истцы. Председатель ЦИКа Элла Памфилова ранее объясняла это решение соображениями безопасности в условиях пандемии.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Кроме того, процедура трехдневного голосования была узаконена в июле, когда кампания уже началась, напоминают истцы. «На момент принятия оспариваемого постановления, вводящего по существу новый порядок голосования, законоположения, предусматривающие право избирательной комиссии &lt;…&gt; принять решение о проведении голосования в течение нескольких дней подряд, отсутствовали»,— говорится в иске.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Госдума прописала норму о трехдневном голосовании в июльском законе, а ЦИК ссылается на майские поправки, где не обозначено трехдневное голосование. То есть оно 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 xml:space="preserve"> постановлением ЦИКа уже после начала избирательной кампании, что, с нашей точки зрения, противоречит законодательству»,— разъяснил “Ъ” зампред ЦК КПРФ Юрий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>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Между тем в майских поправках тоже говорится о многодневном голосовании, хотя и не конкретно о трех днях. 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Там, в частности, сказано, что для защиты здоровья и максимального удобства избирателей голосование вне участков, в том числе «на придомовых территориях, на территориях общего пользования и в иных местах», может проводиться в порядке и сроки, установленные ЦИКом, «в том числе досрочно, но не ранее чем за семь дней до дня голосования».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 xml:space="preserve"> В связи с этим источник “Ъ” в К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ПРФ ск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>азал, что иск в ВС, возможно, будет доработан.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Коммунисты недовольны трехдневным голосованием из-за трудностей для наблюдателей. «Обеспечить столь длительное наблюдение, в том числе в рабочий день, практически невозможно, тем более при голосовании на дому, на придомовых территориях и на всяких пеньках и багажниках. Такие электоральные процедуры наравне с дистанционным электронным голосованием наносят сокрушительный удар по институту наблюдения за выборами»,— подчеркивает руководитель юридической группы фракции КПРФ по выборам депутат Госдумы Юрий Синельщиков.</w:t>
      </w:r>
    </w:p>
    <w:p w:rsidR="00DC4C15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C4C15" w:rsidRPr="00A06F7B" w:rsidRDefault="000B4BFA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0B4BFA" w:rsidRPr="000B4BFA" w:rsidRDefault="000B4BFA" w:rsidP="000B4BFA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B4BFA">
        <w:rPr>
          <w:rFonts w:ascii="Times New Roman" w:hAnsi="Times New Roman" w:cs="Times New Roman"/>
          <w:b/>
          <w:sz w:val="24"/>
          <w:szCs w:val="24"/>
        </w:rPr>
        <w:t>Правительство запирает «долгий ящик» для нормативных документов</w:t>
      </w:r>
    </w:p>
    <w:p w:rsidR="00DC4C15" w:rsidRPr="00A06F7B" w:rsidRDefault="000B4BFA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3727B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https://www.kommersant.ru/doc/4474240?from=four_economic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В преддверии обновления национальных проектов Белый дом пытается повысить собственную нормотворческую дисциплину — правительство подготовило изменения в регламент собственной работы, касающиеся порядка разработки нормативных правовых актов. </w:t>
      </w:r>
      <w:r w:rsidR="000B4BFA">
        <w:rPr>
          <w:rFonts w:ascii="Times New Roman" w:hAnsi="Times New Roman" w:cs="Times New Roman"/>
          <w:sz w:val="24"/>
          <w:szCs w:val="24"/>
        </w:rPr>
        <w:t>П</w:t>
      </w:r>
      <w:r w:rsidRPr="00A06F7B">
        <w:rPr>
          <w:rFonts w:ascii="Times New Roman" w:hAnsi="Times New Roman" w:cs="Times New Roman"/>
          <w:sz w:val="24"/>
          <w:szCs w:val="24"/>
        </w:rPr>
        <w:t>ретензии к работе чиновников над «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нормативкой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>» уже не раз высказывались как самим руководством Белого дома, так и Кремлем и законодателями.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Так, в беседах премьер-министра Михаила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 с сенаторами и депутатами говорилось о том, что необходимые для обеспечения уже принятых законов акты готовятся годами.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Например, депутаты насчитали около 900 «зависших» на этапе разработки документов, а по данным сенаторов, только в 2019 году число подзаконных актов, которые не были вовремя приняты, выросло на 20%, до 511. После подобных замечаний Михаил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 в июле поручил чиновникам за два месяца довести до ума акты, 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 xml:space="preserve"> подготовки которых уже истекают,— а нынешние изменения должны решить проблему системно.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 xml:space="preserve">Попытки минимизировать бюрократические проволочки при разработке документов становятся еще более актуальными в свете грядущего обновления нацпроектов — проблемы с нормативным обеспечением их реализации фиксировались уже после фактически полутора лет работы над проектами 2018 года (премьер уже обращал внимание на то, что акты не подготовлены в срок, и требовал ускорения этого процесса). На этом фоне оптимизацию нормотворческих процедур, видимо, стоит </w:t>
      </w:r>
      <w:proofErr w:type="gramStart"/>
      <w:r w:rsidRPr="00A06F7B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A06F7B">
        <w:rPr>
          <w:rFonts w:ascii="Times New Roman" w:hAnsi="Times New Roman" w:cs="Times New Roman"/>
          <w:sz w:val="24"/>
          <w:szCs w:val="24"/>
        </w:rPr>
        <w:t xml:space="preserve"> как попытку избежать подобных проблем при реализации новым правительством обновленных стратегических документов — тем более что в разговорах о законотворческой деятельности Белый дом уже приводит в качестве аргумента в свою пользу оперативную подготовку нормативной базы в рамках пакетов поддержки экономики на фоне пандемии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>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06F7B">
        <w:rPr>
          <w:rFonts w:ascii="Times New Roman" w:hAnsi="Times New Roman" w:cs="Times New Roman"/>
          <w:sz w:val="24"/>
          <w:szCs w:val="24"/>
        </w:rPr>
        <w:t>Поправки предполагают, что продление сроков разработки «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нормативки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» впредь будет допускаться только в исключительных случаях и только лично Михаилом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Мишустиным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 xml:space="preserve"> и его заместителем, главой аппарата правительства Дмитрием Григоренко.</w:t>
      </w:r>
    </w:p>
    <w:p w:rsidR="00DC4C15" w:rsidRPr="00A06F7B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F7B">
        <w:rPr>
          <w:rFonts w:ascii="Times New Roman" w:hAnsi="Times New Roman" w:cs="Times New Roman"/>
          <w:sz w:val="24"/>
          <w:szCs w:val="24"/>
        </w:rPr>
        <w:t xml:space="preserve">Также предлагается зафиксировать 30-дневный срок подготовки отзывов правительства на законопроекты и их внесения в Госдуму с возможностью однократного продления еще на 30 дней — сейчас время регламентировано лишь на саму подготовку таких документов. Новый порядок предполагает, что законопроект, поступивший на официальный отзыв в </w:t>
      </w:r>
      <w:proofErr w:type="spellStart"/>
      <w:r w:rsidRPr="00A06F7B">
        <w:rPr>
          <w:rFonts w:ascii="Times New Roman" w:hAnsi="Times New Roman" w:cs="Times New Roman"/>
          <w:sz w:val="24"/>
          <w:szCs w:val="24"/>
        </w:rPr>
        <w:t>кабмин</w:t>
      </w:r>
      <w:proofErr w:type="spellEnd"/>
      <w:r w:rsidRPr="00A06F7B">
        <w:rPr>
          <w:rFonts w:ascii="Times New Roman" w:hAnsi="Times New Roman" w:cs="Times New Roman"/>
          <w:sz w:val="24"/>
          <w:szCs w:val="24"/>
        </w:rPr>
        <w:t>, в двухдневный срок направляется аппаратом в профильные ведомства — им дается десять дней на подготовку предложений. В общей сложности представить правительству проект отзыва чиновники должны в течение 15 дней — если речь не идет о проектах изменений в УК или КоАП, он может быть продлен до 30 дней. Также поправки допускают возложение функций официального представителя правительства при рассмотрении законопроекта в парламенте на статс-секретаря — замглавы ведомства (в отсутствие назначенного представителя),— что также должно ускорить прохождение необходимых Белому дому проектов через Госдуму.</w:t>
      </w:r>
    </w:p>
    <w:p w:rsidR="00DC4C15" w:rsidRDefault="00DC4C15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0B4BFA" w:rsidRPr="00A06F7B" w:rsidRDefault="000B4BFA" w:rsidP="00DC4C1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0B4BFA" w:rsidRPr="00A06F7B" w:rsidSect="00065BD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5"/>
    <w:rsid w:val="00072E8D"/>
    <w:rsid w:val="000B4BFA"/>
    <w:rsid w:val="000E68C1"/>
    <w:rsid w:val="00127635"/>
    <w:rsid w:val="0032280F"/>
    <w:rsid w:val="00351DDF"/>
    <w:rsid w:val="004E354C"/>
    <w:rsid w:val="00553465"/>
    <w:rsid w:val="007B7DEC"/>
    <w:rsid w:val="009E3DC0"/>
    <w:rsid w:val="00A06F7B"/>
    <w:rsid w:val="00D719D4"/>
    <w:rsid w:val="00DC4C15"/>
    <w:rsid w:val="00E85FAE"/>
    <w:rsid w:val="00ED7EB0"/>
    <w:rsid w:val="00F332FF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5B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5BD6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ED7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5B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5BD6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ED7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474272?from=main_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4474275?from=main_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s.ru/ekonomika/93265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ss.ru/ekonomika/93277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mmersant.ru/doc/4474240?from=four_econom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Васильев Сергей</cp:lastModifiedBy>
  <cp:revision>3</cp:revision>
  <dcterms:created xsi:type="dcterms:W3CDTF">2020-08-31T07:42:00Z</dcterms:created>
  <dcterms:modified xsi:type="dcterms:W3CDTF">2020-08-31T07:55:00Z</dcterms:modified>
</cp:coreProperties>
</file>