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C6" w:rsidRPr="00DD63C6" w:rsidRDefault="00DD63C6" w:rsidP="00DD63C6">
      <w:pPr>
        <w:pStyle w:val="a3"/>
        <w:ind w:firstLine="1134"/>
        <w:rPr>
          <w:rFonts w:ascii="Times New Roman" w:hAnsi="Times New Roman" w:cs="Times New Roman"/>
          <w:b/>
          <w:sz w:val="24"/>
          <w:szCs w:val="24"/>
        </w:rPr>
      </w:pPr>
      <w:bookmarkStart w:id="0" w:name="_GoBack"/>
      <w:bookmarkEnd w:id="0"/>
      <w:r w:rsidRPr="00DD63C6">
        <w:rPr>
          <w:rFonts w:ascii="Times New Roman" w:hAnsi="Times New Roman" w:cs="Times New Roman"/>
          <w:b/>
          <w:sz w:val="24"/>
          <w:szCs w:val="24"/>
        </w:rPr>
        <w:t>Завершена восьмимесячная работа правительства по созданию «инициатив соци</w:t>
      </w:r>
      <w:r>
        <w:rPr>
          <w:rFonts w:ascii="Times New Roman" w:hAnsi="Times New Roman" w:cs="Times New Roman"/>
          <w:b/>
          <w:sz w:val="24"/>
          <w:szCs w:val="24"/>
        </w:rPr>
        <w:t>ально-экономического развития»</w:t>
      </w:r>
    </w:p>
    <w:p w:rsidR="00DD63C6" w:rsidRPr="00DD63C6" w:rsidRDefault="009D2010" w:rsidP="00DD63C6">
      <w:pPr>
        <w:pStyle w:val="a3"/>
        <w:ind w:firstLine="1134"/>
        <w:rPr>
          <w:rFonts w:ascii="Times New Roman" w:hAnsi="Times New Roman" w:cs="Times New Roman"/>
          <w:sz w:val="24"/>
          <w:szCs w:val="24"/>
        </w:rPr>
      </w:pPr>
      <w:hyperlink r:id="rId4" w:history="1">
        <w:r w:rsidR="00DD63C6" w:rsidRPr="005F7492">
          <w:rPr>
            <w:rStyle w:val="a5"/>
            <w:rFonts w:ascii="Times New Roman" w:hAnsi="Times New Roman" w:cs="Times New Roman"/>
            <w:sz w:val="24"/>
            <w:szCs w:val="24"/>
          </w:rPr>
          <w:t>https://www.kommersant.ru/doc/4908878</w:t>
        </w:r>
      </w:hyperlink>
      <w:r w:rsidR="00DD63C6">
        <w:rPr>
          <w:rFonts w:ascii="Times New Roman" w:hAnsi="Times New Roman" w:cs="Times New Roman"/>
          <w:sz w:val="24"/>
          <w:szCs w:val="24"/>
        </w:rPr>
        <w:t xml:space="preserve"> </w:t>
      </w:r>
    </w:p>
    <w:p w:rsid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На совещании у президента Владимира Путина премьер-министр Михаил </w:t>
      </w:r>
      <w:proofErr w:type="spellStart"/>
      <w:r w:rsidRPr="00DD63C6">
        <w:rPr>
          <w:rFonts w:ascii="Times New Roman" w:hAnsi="Times New Roman" w:cs="Times New Roman"/>
          <w:sz w:val="24"/>
          <w:szCs w:val="24"/>
        </w:rPr>
        <w:t>Мишустин</w:t>
      </w:r>
      <w:proofErr w:type="spellEnd"/>
      <w:r w:rsidRPr="00DD63C6">
        <w:rPr>
          <w:rFonts w:ascii="Times New Roman" w:hAnsi="Times New Roman" w:cs="Times New Roman"/>
          <w:sz w:val="24"/>
          <w:szCs w:val="24"/>
        </w:rPr>
        <w:t xml:space="preserve"> и вице-премьеры представили результат одной из самых сложных программ по планированию последних лет. Работа над отбором инициатив (всего их 42, на старте процесса их было около 250) шла с 2020 года в «полузакрытом» режиме: Белый дом в Координационном центре правительства РФ, во властных кругах более известном как «бункер», провел чуть менее тысячи совещаний, основной задачей которых было обсуждение того, какие проекты развития правительство готово инициировать на период 2021–2024 годов помимо уже ведущейся работы по национальным целям развития, нацпроектов, госпрограмм и текущей работы исполнительной власти. </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42 инициативы будут полностью вписываться в созданную и сейчас реформируемую правительством </w:t>
      </w:r>
      <w:proofErr w:type="spellStart"/>
      <w:r w:rsidRPr="00DD63C6">
        <w:rPr>
          <w:rFonts w:ascii="Times New Roman" w:hAnsi="Times New Roman" w:cs="Times New Roman"/>
          <w:sz w:val="24"/>
          <w:szCs w:val="24"/>
        </w:rPr>
        <w:t>Мишустина</w:t>
      </w:r>
      <w:proofErr w:type="spellEnd"/>
      <w:r w:rsidRPr="00DD63C6">
        <w:rPr>
          <w:rFonts w:ascii="Times New Roman" w:hAnsi="Times New Roman" w:cs="Times New Roman"/>
          <w:sz w:val="24"/>
          <w:szCs w:val="24"/>
        </w:rPr>
        <w:t xml:space="preserve"> систему стратегического планирования.</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При этом Белый дом не меняет принципиально ни структуру бюджета (суммы в 150–180 млрд руб. в год, до 0,2% ВВП, на макропоказатели не влияют никак), ни налоги, ни практики, речь идет о том, что легко проверяемо по результату (инициативы устроены так, что они или исполняются, или нет) и имеет смысл и ценность для больших групп избирателей. С учетом внебюджетного финансирования, денег инвесторов и институтов развития сумма выше — 4,6 трлн руб. за четыре года, или дополнительно около 1% ВВП, из них 736 млрд руб.— федеральные. Но для команды Белого дома это не «макроэкономическая» программа, ее исполнение во многом призвано изменить имидж исполнительной власти и власти в целом в глазах общества.</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После отбора через «сито» совещаний и бюджетных оценок (многие проекты не прошли именно через него — одним из условий был ограниченный бюджет и отказ от изменения налогов) осталось пять крупных «блоков» инициатив.</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Крупнейший из них — социальный: в нем десять проектов общей стоимостью 236,8 млрд руб. без инвестиций ФНБ. В их числе вице-премьер Татьяна Голикова выделяет проект «Пушкинская карта» (бесплатное посещение молодежью культурных учреждений, 17 млн участников), «Социальное казначейство» (слияние ПФР и ФСС в 2023 году, унификация системы страховых взносов, </w:t>
      </w:r>
      <w:proofErr w:type="spellStart"/>
      <w:r w:rsidRPr="00DD63C6">
        <w:rPr>
          <w:rFonts w:ascii="Times New Roman" w:hAnsi="Times New Roman" w:cs="Times New Roman"/>
          <w:sz w:val="24"/>
          <w:szCs w:val="24"/>
        </w:rPr>
        <w:t>цифровизация</w:t>
      </w:r>
      <w:proofErr w:type="spellEnd"/>
      <w:r w:rsidRPr="00DD63C6">
        <w:rPr>
          <w:rFonts w:ascii="Times New Roman" w:hAnsi="Times New Roman" w:cs="Times New Roman"/>
          <w:sz w:val="24"/>
          <w:szCs w:val="24"/>
        </w:rPr>
        <w:t xml:space="preserve"> всех систем господдержки) и «</w:t>
      </w:r>
      <w:proofErr w:type="spellStart"/>
      <w:r w:rsidRPr="00DD63C6">
        <w:rPr>
          <w:rFonts w:ascii="Times New Roman" w:hAnsi="Times New Roman" w:cs="Times New Roman"/>
          <w:sz w:val="24"/>
          <w:szCs w:val="24"/>
        </w:rPr>
        <w:t>Профессионалитет</w:t>
      </w:r>
      <w:proofErr w:type="spellEnd"/>
      <w:r w:rsidRPr="00DD63C6">
        <w:rPr>
          <w:rFonts w:ascii="Times New Roman" w:hAnsi="Times New Roman" w:cs="Times New Roman"/>
          <w:sz w:val="24"/>
          <w:szCs w:val="24"/>
        </w:rPr>
        <w:t xml:space="preserve">» (новая система среднего профессионального образования), среди инициатив также поддержка креативных индустрий, </w:t>
      </w:r>
      <w:proofErr w:type="spellStart"/>
      <w:r w:rsidRPr="00DD63C6">
        <w:rPr>
          <w:rFonts w:ascii="Times New Roman" w:hAnsi="Times New Roman" w:cs="Times New Roman"/>
          <w:sz w:val="24"/>
          <w:szCs w:val="24"/>
        </w:rPr>
        <w:t>меднауки</w:t>
      </w:r>
      <w:proofErr w:type="spellEnd"/>
      <w:r w:rsidRPr="00DD63C6">
        <w:rPr>
          <w:rFonts w:ascii="Times New Roman" w:hAnsi="Times New Roman" w:cs="Times New Roman"/>
          <w:sz w:val="24"/>
          <w:szCs w:val="24"/>
        </w:rPr>
        <w:t xml:space="preserve"> и санитарного контроля, массового спорта и миграции.</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Второй по размеру «блок» — «Технологический рывок»: это в основном меры отраслевой поддержки (в том числе программа создания малых атомных реакторов, полигонов водородной энергетики, автономного судовождения, электромобилей, </w:t>
      </w:r>
      <w:proofErr w:type="spellStart"/>
      <w:r w:rsidRPr="00DD63C6">
        <w:rPr>
          <w:rFonts w:ascii="Times New Roman" w:hAnsi="Times New Roman" w:cs="Times New Roman"/>
          <w:sz w:val="24"/>
          <w:szCs w:val="24"/>
        </w:rPr>
        <w:t>агронауки</w:t>
      </w:r>
      <w:proofErr w:type="spellEnd"/>
      <w:r w:rsidRPr="00DD63C6">
        <w:rPr>
          <w:rFonts w:ascii="Times New Roman" w:hAnsi="Times New Roman" w:cs="Times New Roman"/>
          <w:sz w:val="24"/>
          <w:szCs w:val="24"/>
        </w:rPr>
        <w:t>), впрочем, для рынков, видимо, более важны такие проекты под кураторством первого вице-премьера Андрея Белоусова, как платформа университетского технологического предпринимательства и поддержка передовых инженерных школ. Этот блок стоит 130,5 млрд руб. и 118,7 млрд руб. инвестиций ФНБ.</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Третий «блок» — строительные инициативы под кураторством вице-премьера Марата </w:t>
      </w:r>
      <w:proofErr w:type="spellStart"/>
      <w:r w:rsidRPr="00DD63C6">
        <w:rPr>
          <w:rFonts w:ascii="Times New Roman" w:hAnsi="Times New Roman" w:cs="Times New Roman"/>
          <w:sz w:val="24"/>
          <w:szCs w:val="24"/>
        </w:rPr>
        <w:t>Хуснуллина</w:t>
      </w:r>
      <w:proofErr w:type="spellEnd"/>
      <w:r w:rsidRPr="00DD63C6">
        <w:rPr>
          <w:rFonts w:ascii="Times New Roman" w:hAnsi="Times New Roman" w:cs="Times New Roman"/>
          <w:sz w:val="24"/>
          <w:szCs w:val="24"/>
        </w:rPr>
        <w:t xml:space="preserve">: их семь, и среди них самая амбициозная — быстрая </w:t>
      </w:r>
      <w:proofErr w:type="spellStart"/>
      <w:r w:rsidRPr="00DD63C6">
        <w:rPr>
          <w:rFonts w:ascii="Times New Roman" w:hAnsi="Times New Roman" w:cs="Times New Roman"/>
          <w:sz w:val="24"/>
          <w:szCs w:val="24"/>
        </w:rPr>
        <w:t>цифровизация</w:t>
      </w:r>
      <w:proofErr w:type="spellEnd"/>
      <w:r w:rsidRPr="00DD63C6">
        <w:rPr>
          <w:rFonts w:ascii="Times New Roman" w:hAnsi="Times New Roman" w:cs="Times New Roman"/>
          <w:sz w:val="24"/>
          <w:szCs w:val="24"/>
        </w:rPr>
        <w:t xml:space="preserve"> </w:t>
      </w:r>
      <w:proofErr w:type="spellStart"/>
      <w:r w:rsidRPr="00DD63C6">
        <w:rPr>
          <w:rFonts w:ascii="Times New Roman" w:hAnsi="Times New Roman" w:cs="Times New Roman"/>
          <w:sz w:val="24"/>
          <w:szCs w:val="24"/>
        </w:rPr>
        <w:t>геоданных</w:t>
      </w:r>
      <w:proofErr w:type="spellEnd"/>
      <w:r w:rsidRPr="00DD63C6">
        <w:rPr>
          <w:rFonts w:ascii="Times New Roman" w:hAnsi="Times New Roman" w:cs="Times New Roman"/>
          <w:sz w:val="24"/>
          <w:szCs w:val="24"/>
        </w:rPr>
        <w:t xml:space="preserve"> в РФ в рамках «национальной системы пространственных данных». Кроме того, руководители стройки в Белом доме намерены провести реинжиниринг правил промышленного строительства и стройки в целом, поддержать строительство частных домов и поддержать среднего размера инфраструктурные проекты в рамках «инфраструктурного меню». Этот блок стоит 42,4 млрд руб. федеральных расходов, 54,2 млрд руб. трат ФНБ и приращения госдолга в инфраструктурных облигациях на 150 млрд руб. «Экологический блок» инициатив, курируемых вице-премьером Викторией </w:t>
      </w:r>
      <w:proofErr w:type="spellStart"/>
      <w:r w:rsidRPr="00DD63C6">
        <w:rPr>
          <w:rFonts w:ascii="Times New Roman" w:hAnsi="Times New Roman" w:cs="Times New Roman"/>
          <w:sz w:val="24"/>
          <w:szCs w:val="24"/>
        </w:rPr>
        <w:t>Абрамченко</w:t>
      </w:r>
      <w:proofErr w:type="spellEnd"/>
      <w:r w:rsidRPr="00DD63C6">
        <w:rPr>
          <w:rFonts w:ascii="Times New Roman" w:hAnsi="Times New Roman" w:cs="Times New Roman"/>
          <w:sz w:val="24"/>
          <w:szCs w:val="24"/>
        </w:rPr>
        <w:t xml:space="preserve">, стоит 73,1 млрд руб. и предполагает «генеральную уборку» в морских портах (затонувшие корабли), восстановление материальной базы </w:t>
      </w:r>
      <w:r w:rsidRPr="00DD63C6">
        <w:rPr>
          <w:rFonts w:ascii="Times New Roman" w:hAnsi="Times New Roman" w:cs="Times New Roman"/>
          <w:sz w:val="24"/>
          <w:szCs w:val="24"/>
        </w:rPr>
        <w:lastRenderedPageBreak/>
        <w:t xml:space="preserve">государственной геологии, </w:t>
      </w:r>
      <w:proofErr w:type="spellStart"/>
      <w:r w:rsidRPr="00DD63C6">
        <w:rPr>
          <w:rFonts w:ascii="Times New Roman" w:hAnsi="Times New Roman" w:cs="Times New Roman"/>
          <w:sz w:val="24"/>
          <w:szCs w:val="24"/>
        </w:rPr>
        <w:t>ресайклинговый</w:t>
      </w:r>
      <w:proofErr w:type="spellEnd"/>
      <w:r w:rsidRPr="00DD63C6">
        <w:rPr>
          <w:rFonts w:ascii="Times New Roman" w:hAnsi="Times New Roman" w:cs="Times New Roman"/>
          <w:sz w:val="24"/>
          <w:szCs w:val="24"/>
        </w:rPr>
        <w:t xml:space="preserve"> проект по упаковке. Необычно компактным является блок вице-премьера Дмитрия Чернышенко по </w:t>
      </w:r>
      <w:proofErr w:type="spellStart"/>
      <w:r w:rsidRPr="00DD63C6">
        <w:rPr>
          <w:rFonts w:ascii="Times New Roman" w:hAnsi="Times New Roman" w:cs="Times New Roman"/>
          <w:sz w:val="24"/>
          <w:szCs w:val="24"/>
        </w:rPr>
        <w:t>цифровизации</w:t>
      </w:r>
      <w:proofErr w:type="spellEnd"/>
      <w:r w:rsidRPr="00DD63C6">
        <w:rPr>
          <w:rFonts w:ascii="Times New Roman" w:hAnsi="Times New Roman" w:cs="Times New Roman"/>
          <w:sz w:val="24"/>
          <w:szCs w:val="24"/>
        </w:rPr>
        <w:t xml:space="preserve">: он стоит 17 млрд руб. госинвестиций и 60,8 млрд руб. вложений ФНБ. В основном это обращенные к населению цифровые </w:t>
      </w:r>
      <w:proofErr w:type="spellStart"/>
      <w:r w:rsidRPr="00DD63C6">
        <w:rPr>
          <w:rFonts w:ascii="Times New Roman" w:hAnsi="Times New Roman" w:cs="Times New Roman"/>
          <w:sz w:val="24"/>
          <w:szCs w:val="24"/>
        </w:rPr>
        <w:t>госуслуги</w:t>
      </w:r>
      <w:proofErr w:type="spellEnd"/>
      <w:r w:rsidRPr="00DD63C6">
        <w:rPr>
          <w:rFonts w:ascii="Times New Roman" w:hAnsi="Times New Roman" w:cs="Times New Roman"/>
          <w:sz w:val="24"/>
          <w:szCs w:val="24"/>
        </w:rPr>
        <w:t>, покрытие «космическим» (через спутник) доступом в интернет удаленных территорий. Но здесь есть крайне яркий проект «Подготовка кадров для IT»: с 2021 года на дополнительных двухгодичных курсах языков программирования (</w:t>
      </w:r>
      <w:proofErr w:type="spellStart"/>
      <w:r w:rsidRPr="00DD63C6">
        <w:rPr>
          <w:rFonts w:ascii="Times New Roman" w:hAnsi="Times New Roman" w:cs="Times New Roman"/>
          <w:sz w:val="24"/>
          <w:szCs w:val="24"/>
        </w:rPr>
        <w:t>Pyton</w:t>
      </w:r>
      <w:proofErr w:type="spellEnd"/>
      <w:r w:rsidRPr="00DD63C6">
        <w:rPr>
          <w:rFonts w:ascii="Times New Roman" w:hAnsi="Times New Roman" w:cs="Times New Roman"/>
          <w:sz w:val="24"/>
          <w:szCs w:val="24"/>
        </w:rPr>
        <w:t xml:space="preserve">, C++ и др.) за </w:t>
      </w:r>
      <w:proofErr w:type="spellStart"/>
      <w:r w:rsidRPr="00DD63C6">
        <w:rPr>
          <w:rFonts w:ascii="Times New Roman" w:hAnsi="Times New Roman" w:cs="Times New Roman"/>
          <w:sz w:val="24"/>
          <w:szCs w:val="24"/>
        </w:rPr>
        <w:t>госсчет</w:t>
      </w:r>
      <w:proofErr w:type="spellEnd"/>
      <w:r w:rsidRPr="00DD63C6">
        <w:rPr>
          <w:rFonts w:ascii="Times New Roman" w:hAnsi="Times New Roman" w:cs="Times New Roman"/>
          <w:sz w:val="24"/>
          <w:szCs w:val="24"/>
        </w:rPr>
        <w:t xml:space="preserve"> будут обучаться 240 тыс. старшеклассников, </w:t>
      </w:r>
      <w:proofErr w:type="spellStart"/>
      <w:r w:rsidRPr="00DD63C6">
        <w:rPr>
          <w:rFonts w:ascii="Times New Roman" w:hAnsi="Times New Roman" w:cs="Times New Roman"/>
          <w:sz w:val="24"/>
          <w:szCs w:val="24"/>
        </w:rPr>
        <w:t>допподготовку</w:t>
      </w:r>
      <w:proofErr w:type="spellEnd"/>
      <w:r w:rsidRPr="00DD63C6">
        <w:rPr>
          <w:rFonts w:ascii="Times New Roman" w:hAnsi="Times New Roman" w:cs="Times New Roman"/>
          <w:sz w:val="24"/>
          <w:szCs w:val="24"/>
        </w:rPr>
        <w:t xml:space="preserve"> по программированию получат 75 тыс. студентов.</w:t>
      </w:r>
    </w:p>
    <w:p w:rsidR="00DD63C6" w:rsidRPr="00DD63C6" w:rsidRDefault="00DD63C6" w:rsidP="00DD63C6">
      <w:pPr>
        <w:pStyle w:val="a3"/>
        <w:ind w:firstLine="1134"/>
        <w:rPr>
          <w:rFonts w:ascii="Times New Roman" w:hAnsi="Times New Roman" w:cs="Times New Roman"/>
          <w:sz w:val="24"/>
          <w:szCs w:val="24"/>
        </w:rPr>
      </w:pPr>
      <w:r w:rsidRPr="00DD63C6">
        <w:rPr>
          <w:rFonts w:ascii="Times New Roman" w:hAnsi="Times New Roman" w:cs="Times New Roman"/>
          <w:sz w:val="24"/>
          <w:szCs w:val="24"/>
        </w:rPr>
        <w:t>И, наконец, последний блок под кураторством вице-премьера Дмитрия Григоренко стоит всего 5 млрд руб. и состоит только из одной инициативы — «</w:t>
      </w:r>
      <w:proofErr w:type="spellStart"/>
      <w:r w:rsidRPr="00DD63C6">
        <w:rPr>
          <w:rFonts w:ascii="Times New Roman" w:hAnsi="Times New Roman" w:cs="Times New Roman"/>
          <w:sz w:val="24"/>
          <w:szCs w:val="24"/>
        </w:rPr>
        <w:t>Клиентоцентричность</w:t>
      </w:r>
      <w:proofErr w:type="spellEnd"/>
      <w:r w:rsidRPr="00DD63C6">
        <w:rPr>
          <w:rFonts w:ascii="Times New Roman" w:hAnsi="Times New Roman" w:cs="Times New Roman"/>
          <w:sz w:val="24"/>
          <w:szCs w:val="24"/>
        </w:rPr>
        <w:t> / Государство для граждан». Это, видимо, самый «тяжелый» с точки зрения самого госаппарата проект изменения государственной корпоративной культуры. «Повышение уровня доверия к власти» в этом случае — прямая цель для государства. Технически речь идет о создании системы HR для госслужбы, предварительном тестировании изменяющихся практик и мониторинге оказания государственных услуг, создании систем обратной связи.</w:t>
      </w:r>
    </w:p>
    <w:p w:rsidR="00DD63C6" w:rsidRDefault="00DD63C6" w:rsidP="00DD63C6">
      <w:pPr>
        <w:pStyle w:val="a3"/>
        <w:ind w:firstLine="1134"/>
        <w:rPr>
          <w:rFonts w:ascii="Times New Roman" w:hAnsi="Times New Roman" w:cs="Times New Roman"/>
          <w:sz w:val="24"/>
          <w:szCs w:val="24"/>
        </w:rPr>
      </w:pPr>
    </w:p>
    <w:p w:rsidR="00DD63C6" w:rsidRDefault="00DD63C6" w:rsidP="00DD63C6">
      <w:pPr>
        <w:pStyle w:val="a3"/>
        <w:ind w:firstLine="1134"/>
        <w:rPr>
          <w:rFonts w:ascii="Times New Roman" w:hAnsi="Times New Roman" w:cs="Times New Roman"/>
          <w:sz w:val="24"/>
          <w:szCs w:val="24"/>
        </w:rPr>
      </w:pPr>
    </w:p>
    <w:p w:rsidR="00DD63C6" w:rsidRPr="00DD63C6" w:rsidRDefault="00DD63C6" w:rsidP="00DD63C6">
      <w:pPr>
        <w:pStyle w:val="a3"/>
        <w:ind w:firstLine="1134"/>
        <w:rPr>
          <w:rFonts w:ascii="Times New Roman" w:hAnsi="Times New Roman" w:cs="Times New Roman"/>
          <w:b/>
          <w:sz w:val="24"/>
          <w:szCs w:val="24"/>
        </w:rPr>
      </w:pPr>
      <w:r w:rsidRPr="00DD63C6">
        <w:rPr>
          <w:rFonts w:ascii="Times New Roman" w:hAnsi="Times New Roman" w:cs="Times New Roman"/>
          <w:b/>
          <w:sz w:val="24"/>
          <w:szCs w:val="24"/>
        </w:rPr>
        <w:t>Экономисты спрогнозировали повышение ключевой ставки выше 6%</w:t>
      </w:r>
    </w:p>
    <w:p w:rsidR="00CA00E3" w:rsidRPr="00DD63C6" w:rsidRDefault="009D2010" w:rsidP="00CA00E3">
      <w:pPr>
        <w:pStyle w:val="a3"/>
        <w:ind w:firstLine="1134"/>
        <w:rPr>
          <w:rFonts w:ascii="Times New Roman" w:hAnsi="Times New Roman" w:cs="Times New Roman"/>
          <w:sz w:val="24"/>
          <w:szCs w:val="24"/>
        </w:rPr>
      </w:pPr>
      <w:hyperlink r:id="rId5" w:history="1">
        <w:r w:rsidR="00DD63C6" w:rsidRPr="005F7492">
          <w:rPr>
            <w:rStyle w:val="a5"/>
            <w:rFonts w:ascii="Times New Roman" w:hAnsi="Times New Roman" w:cs="Times New Roman"/>
            <w:sz w:val="24"/>
            <w:szCs w:val="24"/>
          </w:rPr>
          <w:t>https://www.rbc.ru/finances/20/07/2021/60f5665a9a79478a0a3c72e4</w:t>
        </w:r>
      </w:hyperlink>
      <w:r w:rsidR="00DD63C6">
        <w:rPr>
          <w:rFonts w:ascii="Times New Roman" w:hAnsi="Times New Roman" w:cs="Times New Roman"/>
          <w:sz w:val="24"/>
          <w:szCs w:val="24"/>
        </w:rPr>
        <w:t xml:space="preserve"> </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Совет директоров Банка России в эту пятницу, 23 июля, может продолжить ужесточение денежно-кредитной политики и повысить ставку уже в четвертый раз подряд, причем ее рост может стать самым существенным с 2014 года — сразу на 0,75–1 процентный пункт, считают опрошенные РБК экономисты.</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Всего аналитики рассматривают три сценария повышения ставки с текущих 5,5%, показывают результаты консенсус-прогноза агентства </w:t>
      </w:r>
      <w:proofErr w:type="spellStart"/>
      <w:r w:rsidRPr="00DD63C6">
        <w:rPr>
          <w:rFonts w:ascii="Times New Roman" w:hAnsi="Times New Roman" w:cs="Times New Roman"/>
          <w:sz w:val="24"/>
          <w:szCs w:val="24"/>
        </w:rPr>
        <w:t>Bloomberg</w:t>
      </w:r>
      <w:proofErr w:type="spellEnd"/>
      <w:r w:rsidRPr="00DD63C6">
        <w:rPr>
          <w:rFonts w:ascii="Times New Roman" w:hAnsi="Times New Roman" w:cs="Times New Roman"/>
          <w:sz w:val="24"/>
          <w:szCs w:val="24"/>
        </w:rPr>
        <w:t xml:space="preserve">. Девять из них ожидают повышения ставки на 0,5 </w:t>
      </w:r>
      <w:proofErr w:type="spellStart"/>
      <w:r w:rsidRPr="00DD63C6">
        <w:rPr>
          <w:rFonts w:ascii="Times New Roman" w:hAnsi="Times New Roman" w:cs="Times New Roman"/>
          <w:sz w:val="24"/>
          <w:szCs w:val="24"/>
        </w:rPr>
        <w:t>п.п</w:t>
      </w:r>
      <w:proofErr w:type="spellEnd"/>
      <w:r w:rsidRPr="00DD63C6">
        <w:rPr>
          <w:rFonts w:ascii="Times New Roman" w:hAnsi="Times New Roman" w:cs="Times New Roman"/>
          <w:sz w:val="24"/>
          <w:szCs w:val="24"/>
        </w:rPr>
        <w:t xml:space="preserve">., до 6%, семеро — на 0,75 </w:t>
      </w:r>
      <w:proofErr w:type="spellStart"/>
      <w:r w:rsidRPr="00DD63C6">
        <w:rPr>
          <w:rFonts w:ascii="Times New Roman" w:hAnsi="Times New Roman" w:cs="Times New Roman"/>
          <w:sz w:val="24"/>
          <w:szCs w:val="24"/>
        </w:rPr>
        <w:t>п.п</w:t>
      </w:r>
      <w:proofErr w:type="spellEnd"/>
      <w:r w:rsidRPr="00DD63C6">
        <w:rPr>
          <w:rFonts w:ascii="Times New Roman" w:hAnsi="Times New Roman" w:cs="Times New Roman"/>
          <w:sz w:val="24"/>
          <w:szCs w:val="24"/>
        </w:rPr>
        <w:t xml:space="preserve">., 13 экспертов — на 1 </w:t>
      </w:r>
      <w:proofErr w:type="spellStart"/>
      <w:r w:rsidRPr="00DD63C6">
        <w:rPr>
          <w:rFonts w:ascii="Times New Roman" w:hAnsi="Times New Roman" w:cs="Times New Roman"/>
          <w:sz w:val="24"/>
          <w:szCs w:val="24"/>
        </w:rPr>
        <w:t>п.п</w:t>
      </w:r>
      <w:proofErr w:type="spellEnd"/>
      <w:r w:rsidRPr="00DD63C6">
        <w:rPr>
          <w:rFonts w:ascii="Times New Roman" w:hAnsi="Times New Roman" w:cs="Times New Roman"/>
          <w:sz w:val="24"/>
          <w:szCs w:val="24"/>
        </w:rPr>
        <w:t>. Ужесточения денежно-кредитной политики ждут и участники макроэкономического прогноза ЦБ. Они ожидают среднюю ставку по итогам года на уровне 5,5%, при том что на начало 2021 года она составляла 4,25%.</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Сигнал рынку председатель Банка России Эльвира </w:t>
      </w:r>
      <w:proofErr w:type="spellStart"/>
      <w:r w:rsidRPr="00DD63C6">
        <w:rPr>
          <w:rFonts w:ascii="Times New Roman" w:hAnsi="Times New Roman" w:cs="Times New Roman"/>
          <w:sz w:val="24"/>
          <w:szCs w:val="24"/>
        </w:rPr>
        <w:t>Набиуллина</w:t>
      </w:r>
      <w:proofErr w:type="spellEnd"/>
      <w:r w:rsidRPr="00DD63C6">
        <w:rPr>
          <w:rFonts w:ascii="Times New Roman" w:hAnsi="Times New Roman" w:cs="Times New Roman"/>
          <w:sz w:val="24"/>
          <w:szCs w:val="24"/>
        </w:rPr>
        <w:t xml:space="preserve"> дала еще в конце июня. «Будем обсуждать [повышение ставки] в широком диапазоне от 25 до 100 базисных пунктов», — сказала она в интервью </w:t>
      </w:r>
      <w:proofErr w:type="spellStart"/>
      <w:r w:rsidRPr="00DD63C6">
        <w:rPr>
          <w:rFonts w:ascii="Times New Roman" w:hAnsi="Times New Roman" w:cs="Times New Roman"/>
          <w:sz w:val="24"/>
          <w:szCs w:val="24"/>
        </w:rPr>
        <w:t>Bloomberg</w:t>
      </w:r>
      <w:proofErr w:type="spellEnd"/>
      <w:r w:rsidRPr="00DD63C6">
        <w:rPr>
          <w:rFonts w:ascii="Times New Roman" w:hAnsi="Times New Roman" w:cs="Times New Roman"/>
          <w:sz w:val="24"/>
          <w:szCs w:val="24"/>
        </w:rPr>
        <w:t>. Глава ЦБ подчеркнула, что политика Банка России все еще остается мягкой (с учетом инфляции реальная ставка остается отрицательной).</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После заявления </w:t>
      </w:r>
      <w:proofErr w:type="spellStart"/>
      <w:r w:rsidRPr="00DD63C6">
        <w:rPr>
          <w:rFonts w:ascii="Times New Roman" w:hAnsi="Times New Roman" w:cs="Times New Roman"/>
          <w:sz w:val="24"/>
          <w:szCs w:val="24"/>
        </w:rPr>
        <w:t>Набиуллиной</w:t>
      </w:r>
      <w:proofErr w:type="spellEnd"/>
      <w:r w:rsidRPr="00DD63C6">
        <w:rPr>
          <w:rFonts w:ascii="Times New Roman" w:hAnsi="Times New Roman" w:cs="Times New Roman"/>
          <w:sz w:val="24"/>
          <w:szCs w:val="24"/>
        </w:rPr>
        <w:t xml:space="preserve"> вышли данные Росстата по инфляции в июне, которые показали, что рост цен ускорился до 6,5% в годовом исчислении, рекорда с 2016 года. Драйверами роста стали дорожающие овощи и стройматериалы. Рост цен происходит на фоне ускорения экономики: Минэкономразвития ожидает роста ВВП на 3,8% в этом году, а ЦБ не исключает, что рост ВВП превысит 4%. Восстановление экономики произошло в условиях ограниченного предложения, в результате случился «шок, который вызвал сейчас отклонение инфляции от цели», обращал внимание глава департамента денежно-кредитной политики ЦБ Кирилл </w:t>
      </w:r>
      <w:proofErr w:type="spellStart"/>
      <w:r w:rsidRPr="00DD63C6">
        <w:rPr>
          <w:rFonts w:ascii="Times New Roman" w:hAnsi="Times New Roman" w:cs="Times New Roman"/>
          <w:sz w:val="24"/>
          <w:szCs w:val="24"/>
        </w:rPr>
        <w:t>Тремасов</w:t>
      </w:r>
      <w:proofErr w:type="spellEnd"/>
      <w:r w:rsidRPr="00DD63C6">
        <w:rPr>
          <w:rFonts w:ascii="Times New Roman" w:hAnsi="Times New Roman" w:cs="Times New Roman"/>
          <w:sz w:val="24"/>
          <w:szCs w:val="24"/>
        </w:rPr>
        <w:t xml:space="preserve"> в интервью «Коммерсанту».</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«Я считаю, что с равной вероятностью возможно повышение ставки на 50 </w:t>
      </w:r>
      <w:proofErr w:type="spellStart"/>
      <w:r w:rsidRPr="00DD63C6">
        <w:rPr>
          <w:rFonts w:ascii="Times New Roman" w:hAnsi="Times New Roman" w:cs="Times New Roman"/>
          <w:sz w:val="24"/>
          <w:szCs w:val="24"/>
        </w:rPr>
        <w:t>б.п</w:t>
      </w:r>
      <w:proofErr w:type="spellEnd"/>
      <w:r w:rsidRPr="00DD63C6">
        <w:rPr>
          <w:rFonts w:ascii="Times New Roman" w:hAnsi="Times New Roman" w:cs="Times New Roman"/>
          <w:sz w:val="24"/>
          <w:szCs w:val="24"/>
        </w:rPr>
        <w:t>. и в июле, и в сентябре, и на 100 </w:t>
      </w:r>
      <w:proofErr w:type="spellStart"/>
      <w:r w:rsidRPr="00DD63C6">
        <w:rPr>
          <w:rFonts w:ascii="Times New Roman" w:hAnsi="Times New Roman" w:cs="Times New Roman"/>
          <w:sz w:val="24"/>
          <w:szCs w:val="24"/>
        </w:rPr>
        <w:t>б.п</w:t>
      </w:r>
      <w:proofErr w:type="spellEnd"/>
      <w:r w:rsidRPr="00DD63C6">
        <w:rPr>
          <w:rFonts w:ascii="Times New Roman" w:hAnsi="Times New Roman" w:cs="Times New Roman"/>
          <w:sz w:val="24"/>
          <w:szCs w:val="24"/>
        </w:rPr>
        <w:t xml:space="preserve">. только в июле. ЦБ будет решать, повысить ставку одним ударом или разбить повышение на два этапа, в любом случае эффект от этого повышения мгновенным не будет», — сказал РБК управляющий директор по макроэкономическому анализу и прогнозированию «Эксперт РА» Антон </w:t>
      </w:r>
      <w:proofErr w:type="spellStart"/>
      <w:r w:rsidRPr="00DD63C6">
        <w:rPr>
          <w:rFonts w:ascii="Times New Roman" w:hAnsi="Times New Roman" w:cs="Times New Roman"/>
          <w:sz w:val="24"/>
          <w:szCs w:val="24"/>
        </w:rPr>
        <w:t>Табах</w:t>
      </w:r>
      <w:proofErr w:type="spellEnd"/>
      <w:r w:rsidRPr="00DD63C6">
        <w:rPr>
          <w:rFonts w:ascii="Times New Roman" w:hAnsi="Times New Roman" w:cs="Times New Roman"/>
          <w:sz w:val="24"/>
          <w:szCs w:val="24"/>
        </w:rPr>
        <w:t>. Резкий скачок ставки может подстегнуть укрепление рубля и тем самым снизить инфляцию на отрезке в несколько месяцев, добавил он.</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lastRenderedPageBreak/>
        <w:t xml:space="preserve">«Даже ставка 7% не выглядит достаточно жесткой, потому что все ожидают, что инфляция сохранится на своем пике 6,5–7% чуть ли не до конца сентября», — рассуждает профессор финансов Российской экономической школы (РЭШ) Олег Шибанов. По его словам, повышение ставки на 1 </w:t>
      </w:r>
      <w:proofErr w:type="spellStart"/>
      <w:r w:rsidRPr="00DD63C6">
        <w:rPr>
          <w:rFonts w:ascii="Times New Roman" w:hAnsi="Times New Roman" w:cs="Times New Roman"/>
          <w:sz w:val="24"/>
          <w:szCs w:val="24"/>
        </w:rPr>
        <w:t>п.п</w:t>
      </w:r>
      <w:proofErr w:type="spellEnd"/>
      <w:r w:rsidRPr="00DD63C6">
        <w:rPr>
          <w:rFonts w:ascii="Times New Roman" w:hAnsi="Times New Roman" w:cs="Times New Roman"/>
          <w:sz w:val="24"/>
          <w:szCs w:val="24"/>
        </w:rPr>
        <w:t>. позволит быстрее охладить спрос и снизить инфляционное давление.</w:t>
      </w:r>
    </w:p>
    <w:p w:rsidR="00CA00E3" w:rsidRDefault="00CA00E3" w:rsidP="00CA00E3">
      <w:pPr>
        <w:pStyle w:val="a3"/>
        <w:ind w:firstLine="1134"/>
        <w:rPr>
          <w:rFonts w:ascii="Times New Roman" w:hAnsi="Times New Roman" w:cs="Times New Roman"/>
          <w:sz w:val="24"/>
          <w:szCs w:val="24"/>
        </w:rPr>
      </w:pPr>
    </w:p>
    <w:p w:rsidR="00DD63C6" w:rsidRDefault="00DD63C6" w:rsidP="00CA00E3">
      <w:pPr>
        <w:pStyle w:val="a3"/>
        <w:ind w:firstLine="1134"/>
        <w:rPr>
          <w:rFonts w:ascii="Times New Roman" w:hAnsi="Times New Roman" w:cs="Times New Roman"/>
          <w:sz w:val="24"/>
          <w:szCs w:val="24"/>
        </w:rPr>
      </w:pPr>
    </w:p>
    <w:p w:rsidR="00DD63C6" w:rsidRPr="00DD63C6" w:rsidRDefault="00DD63C6" w:rsidP="00DD63C6">
      <w:pPr>
        <w:pStyle w:val="a3"/>
        <w:ind w:firstLine="1134"/>
        <w:rPr>
          <w:rFonts w:ascii="Times New Roman" w:hAnsi="Times New Roman" w:cs="Times New Roman"/>
          <w:b/>
          <w:sz w:val="24"/>
          <w:szCs w:val="24"/>
        </w:rPr>
      </w:pPr>
      <w:r w:rsidRPr="00DD63C6">
        <w:rPr>
          <w:rFonts w:ascii="Times New Roman" w:hAnsi="Times New Roman" w:cs="Times New Roman"/>
          <w:b/>
          <w:sz w:val="24"/>
          <w:szCs w:val="24"/>
        </w:rPr>
        <w:t>Путин потребовал скорректировать цель по снижению бедности</w:t>
      </w:r>
    </w:p>
    <w:p w:rsidR="00CA00E3" w:rsidRPr="00DD63C6" w:rsidRDefault="009D2010" w:rsidP="00CA00E3">
      <w:pPr>
        <w:pStyle w:val="a3"/>
        <w:ind w:firstLine="1134"/>
        <w:rPr>
          <w:rFonts w:ascii="Times New Roman" w:hAnsi="Times New Roman" w:cs="Times New Roman"/>
          <w:sz w:val="24"/>
          <w:szCs w:val="24"/>
        </w:rPr>
      </w:pPr>
      <w:hyperlink r:id="rId6" w:history="1">
        <w:r w:rsidR="00DD63C6" w:rsidRPr="005F7492">
          <w:rPr>
            <w:rStyle w:val="a5"/>
            <w:rFonts w:ascii="Times New Roman" w:hAnsi="Times New Roman" w:cs="Times New Roman"/>
            <w:sz w:val="24"/>
            <w:szCs w:val="24"/>
          </w:rPr>
          <w:t>https://www.gazeta.ru/business/2021/07/19/13767998.shtml</w:t>
        </w:r>
      </w:hyperlink>
      <w:r w:rsidR="00DD63C6">
        <w:rPr>
          <w:rFonts w:ascii="Times New Roman" w:hAnsi="Times New Roman" w:cs="Times New Roman"/>
          <w:sz w:val="24"/>
          <w:szCs w:val="24"/>
        </w:rPr>
        <w:t xml:space="preserve"> </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Бедность и низкие доходы семей остаются в числе нерешенных задач, обозначенных в национальных проектах. Об этом на совете по стратегическому развитию заявил президент Владимир Путин. Он счел недопустимым откладывать такого рода цели «на потом, на когда-нибудь». Эксперты скептически оценивают возможности правительства по снижению уровня бедности в России в два раза даже к 2030 году.</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Вице-премьер Татьяна Голикова, куратор социальных программ, подтвердила обязательства правительства по борьбе с бедностью.</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К 2023 году уровень бедности планируется снизить до 10,9% от общего количества россиян, в 2024-м — до 10,4%, а к 2030 году — в два раза, то есть до 6,5%, пообещала Голикова.</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Но Путин поправил вице-премьера, предложив скорректировать целевые показатели по снижению уровня бедности с учетом роста зарплат.</w:t>
      </w:r>
    </w:p>
    <w:p w:rsidR="00CA00E3" w:rsidRPr="00DD63C6" w:rsidRDefault="00DD63C6"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 </w:t>
      </w:r>
      <w:r w:rsidR="00CA00E3" w:rsidRPr="00DD63C6">
        <w:rPr>
          <w:rFonts w:ascii="Times New Roman" w:hAnsi="Times New Roman" w:cs="Times New Roman"/>
          <w:sz w:val="24"/>
          <w:szCs w:val="24"/>
        </w:rPr>
        <w:t>«Пандемия, удар по экономике, по малому и среднему бизнесу — все понятно: снижение доходов населения», — заметил он.</w:t>
      </w:r>
      <w:r>
        <w:rPr>
          <w:rFonts w:ascii="Times New Roman" w:hAnsi="Times New Roman" w:cs="Times New Roman"/>
          <w:sz w:val="24"/>
          <w:szCs w:val="24"/>
        </w:rPr>
        <w:t xml:space="preserve"> </w:t>
      </w:r>
      <w:r w:rsidR="00CA00E3" w:rsidRPr="00DD63C6">
        <w:rPr>
          <w:rFonts w:ascii="Times New Roman" w:hAnsi="Times New Roman" w:cs="Times New Roman"/>
          <w:sz w:val="24"/>
          <w:szCs w:val="24"/>
        </w:rPr>
        <w:t>Однако, продолжил президент, зарплаты россиян в реальном выражении растут. Прогноз минэкономразвития по итогам года — рост на 3,9%.</w:t>
      </w:r>
      <w:r>
        <w:rPr>
          <w:rFonts w:ascii="Times New Roman" w:hAnsi="Times New Roman" w:cs="Times New Roman"/>
          <w:sz w:val="24"/>
          <w:szCs w:val="24"/>
        </w:rPr>
        <w:t xml:space="preserve"> </w:t>
      </w:r>
      <w:r w:rsidR="00CA00E3" w:rsidRPr="00DD63C6">
        <w:rPr>
          <w:rFonts w:ascii="Times New Roman" w:hAnsi="Times New Roman" w:cs="Times New Roman"/>
          <w:sz w:val="24"/>
          <w:szCs w:val="24"/>
        </w:rPr>
        <w:t>«Значит, и показатель по снижению бедности должен быть скорректирован», — сказал Путин.</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Голикова пообещала учесть рост зарплат. А снизить бедность в два раза она намерена за счет повышения адресности в оказании помощи нуждающимся гражданам. На это будет нацелена работа «социального казначейства». При помощи этого механизма правительство надеется идентифицировать всех реально нуждающихся в поддержке граждан и оперативно доводить до них пособия. При этом необходимо отсечь от пособий тех россиян, которые формально числятся бедными, а фактически имеют неплохие доходы, зарабатывая, например, в теневом секторе экономики.</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Для решения проблемы бедности от правительства потребуются дополнительные меры поддержки малоимущих, уверены эксперты, опрошенные «</w:t>
      </w:r>
      <w:proofErr w:type="spellStart"/>
      <w:r w:rsidRPr="00DD63C6">
        <w:rPr>
          <w:rFonts w:ascii="Times New Roman" w:hAnsi="Times New Roman" w:cs="Times New Roman"/>
          <w:sz w:val="24"/>
          <w:szCs w:val="24"/>
        </w:rPr>
        <w:t>Газетой.Ru</w:t>
      </w:r>
      <w:proofErr w:type="spellEnd"/>
      <w:r w:rsidRPr="00DD63C6">
        <w:rPr>
          <w:rFonts w:ascii="Times New Roman" w:hAnsi="Times New Roman" w:cs="Times New Roman"/>
          <w:sz w:val="24"/>
          <w:szCs w:val="24"/>
        </w:rPr>
        <w:t>». «Запуск «социального казначейства», конечно, повысит адресность господдержки. Такое казначейство поменяет принцип предоставления помощи с заявительного на </w:t>
      </w:r>
      <w:proofErr w:type="spellStart"/>
      <w:r w:rsidRPr="00DD63C6">
        <w:rPr>
          <w:rFonts w:ascii="Times New Roman" w:hAnsi="Times New Roman" w:cs="Times New Roman"/>
          <w:sz w:val="24"/>
          <w:szCs w:val="24"/>
        </w:rPr>
        <w:t>выявительный</w:t>
      </w:r>
      <w:proofErr w:type="spellEnd"/>
      <w:r w:rsidRPr="00DD63C6">
        <w:rPr>
          <w:rFonts w:ascii="Times New Roman" w:hAnsi="Times New Roman" w:cs="Times New Roman"/>
          <w:sz w:val="24"/>
          <w:szCs w:val="24"/>
        </w:rPr>
        <w:t xml:space="preserve">. Но казначейство — это лишь платформа, оболочка, в которой будут подаваться решения. Но это не решение проблемы бедности», — говорит заведующая центром анализа доходов и уровня жизни НИУ ВШЭ Алина </w:t>
      </w:r>
      <w:proofErr w:type="spellStart"/>
      <w:r w:rsidRPr="00DD63C6">
        <w:rPr>
          <w:rFonts w:ascii="Times New Roman" w:hAnsi="Times New Roman" w:cs="Times New Roman"/>
          <w:sz w:val="24"/>
          <w:szCs w:val="24"/>
        </w:rPr>
        <w:t>Пишняк</w:t>
      </w:r>
      <w:proofErr w:type="spellEnd"/>
      <w:r w:rsidRPr="00DD63C6">
        <w:rPr>
          <w:rFonts w:ascii="Times New Roman" w:hAnsi="Times New Roman" w:cs="Times New Roman"/>
          <w:sz w:val="24"/>
          <w:szCs w:val="24"/>
        </w:rPr>
        <w:t>.</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В 2020 году уровень бедности, по данным Минэкономразвития, стал минимальным с 2014 года — за официальной чертой бедности в 2019 году находились 17,8 млн (12,1%) россиян. В 2020 году уровень бедности снизился на 0,2 </w:t>
      </w:r>
      <w:proofErr w:type="spellStart"/>
      <w:r w:rsidRPr="00DD63C6">
        <w:rPr>
          <w:rFonts w:ascii="Times New Roman" w:hAnsi="Times New Roman" w:cs="Times New Roman"/>
          <w:sz w:val="24"/>
          <w:szCs w:val="24"/>
        </w:rPr>
        <w:t>п.п</w:t>
      </w:r>
      <w:proofErr w:type="spellEnd"/>
      <w:r w:rsidRPr="00DD63C6">
        <w:rPr>
          <w:rFonts w:ascii="Times New Roman" w:hAnsi="Times New Roman" w:cs="Times New Roman"/>
          <w:sz w:val="24"/>
          <w:szCs w:val="24"/>
        </w:rPr>
        <w:t xml:space="preserve">. В структуре доходов населения </w:t>
      </w:r>
      <w:proofErr w:type="spellStart"/>
      <w:r w:rsidRPr="00DD63C6">
        <w:rPr>
          <w:rFonts w:ascii="Times New Roman" w:hAnsi="Times New Roman" w:cs="Times New Roman"/>
          <w:sz w:val="24"/>
          <w:szCs w:val="24"/>
        </w:rPr>
        <w:t>соцвыплаты</w:t>
      </w:r>
      <w:proofErr w:type="spellEnd"/>
      <w:r w:rsidRPr="00DD63C6">
        <w:rPr>
          <w:rFonts w:ascii="Times New Roman" w:hAnsi="Times New Roman" w:cs="Times New Roman"/>
          <w:sz w:val="24"/>
          <w:szCs w:val="24"/>
        </w:rPr>
        <w:t xml:space="preserve"> выросли с 19 до 21%. Основная поддержка шла безработным и семьям с детьми. На это было потрачено в прошлом году более 1 трлн рублей.</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«С трудом верится, что в условиях пандемии </w:t>
      </w:r>
      <w:proofErr w:type="spellStart"/>
      <w:r w:rsidRPr="00DD63C6">
        <w:rPr>
          <w:rFonts w:ascii="Times New Roman" w:hAnsi="Times New Roman" w:cs="Times New Roman"/>
          <w:sz w:val="24"/>
          <w:szCs w:val="24"/>
        </w:rPr>
        <w:t>коронавируса</w:t>
      </w:r>
      <w:proofErr w:type="spellEnd"/>
      <w:r w:rsidRPr="00DD63C6">
        <w:rPr>
          <w:rFonts w:ascii="Times New Roman" w:hAnsi="Times New Roman" w:cs="Times New Roman"/>
          <w:sz w:val="24"/>
          <w:szCs w:val="24"/>
        </w:rPr>
        <w:t xml:space="preserve"> и экономического кризиса люди стали жить лучше. Однако нельзя отрицать, что в прошлом году объем социальных выплат (особенно ориентированных на детей) увеличился, что как раз способствовало сокращению бедности», — рассуждает аналитик Института комплексных стратегических исследований Елена Киселева.</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lastRenderedPageBreak/>
        <w:t>Киселева считает, что власти «победят» бедность при помощи новой методики расчета. В ней власти отказались от привязки прожиточного минимума к </w:t>
      </w:r>
      <w:proofErr w:type="spellStart"/>
      <w:r w:rsidRPr="00DD63C6">
        <w:rPr>
          <w:rFonts w:ascii="Times New Roman" w:hAnsi="Times New Roman" w:cs="Times New Roman"/>
          <w:sz w:val="24"/>
          <w:szCs w:val="24"/>
        </w:rPr>
        <w:t>потребкорзине</w:t>
      </w:r>
      <w:proofErr w:type="spellEnd"/>
      <w:r w:rsidRPr="00DD63C6">
        <w:rPr>
          <w:rFonts w:ascii="Times New Roman" w:hAnsi="Times New Roman" w:cs="Times New Roman"/>
          <w:sz w:val="24"/>
          <w:szCs w:val="24"/>
        </w:rPr>
        <w:t xml:space="preserve"> и считают этот показатель как 44,2% от медианного среднедушевого дохода. Медиана — это значение, которое делит всех получателей заработной платы ровно пополам — половина получает зарплату ниже этого значения, вторая половина выше.</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«То есть бедность может снижаться даже тогда, когда реальные доходы населения падают», — отмечает Киселева из ИКСИ.</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Руководитель фракции «Справедливая Россия» в Госдуме Сергей Миронов говорит о двух самых ужасных видах бедности. Это бедность работающих и бедность семей с детьми. «Ключевая причина бедности работающих — это катастрофически низкий уровень минимальной зарплаты, МРОТ. Даже такие страны, как Румыния, Болгария, опережают нас по этому показателю. Средненькие страны Евросоюза опережают Россию по минимальной зарплате в разы, самые развитые страны — в десять и более раз», — сетует Миронов.</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Он считает, что необходимо повышение МРОТ до уровня не менее 50% от доходов тех, кого можно назвать средним классом. В России средний класс – это люди с зарплатой от 120 000 рублей в месяц.</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По словам Миронова, бедность работающих — очень опасное явление для экономики. «Если услуги работника стоят копейки, то какой смысл тратиться на новое оборудование и повышение квалификации? В долгосрочной перспективе экономика от этого проигрывает: отмирают целые отрасли и регионы. Посмотрите на российскую глубинку, ее состояние — это прямой результат хронически низких зарплат», — отмечает </w:t>
      </w:r>
      <w:proofErr w:type="spellStart"/>
      <w:r w:rsidRPr="00DD63C6">
        <w:rPr>
          <w:rFonts w:ascii="Times New Roman" w:hAnsi="Times New Roman" w:cs="Times New Roman"/>
          <w:sz w:val="24"/>
          <w:szCs w:val="24"/>
        </w:rPr>
        <w:t>эсэр</w:t>
      </w:r>
      <w:proofErr w:type="spellEnd"/>
      <w:r w:rsidRPr="00DD63C6">
        <w:rPr>
          <w:rFonts w:ascii="Times New Roman" w:hAnsi="Times New Roman" w:cs="Times New Roman"/>
          <w:sz w:val="24"/>
          <w:szCs w:val="24"/>
        </w:rPr>
        <w:t xml:space="preserve"> Миронов.</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По его оценке, 80% бедных в России — это семьи с детьми. «Бедность семей с детьми прямой результат бедности работающих. Если не решать эту проблему, то с точки зрения демографии для России это будет приговором», — предупреждает Миронов, добавляя, что необходимо выплачивать на каждого члена семьи, где есть дети, хотя бы по 10 000 рублей в месяц.</w:t>
      </w:r>
    </w:p>
    <w:p w:rsidR="00CA00E3" w:rsidRPr="00DD63C6" w:rsidRDefault="00CA00E3"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p>
    <w:p w:rsidR="00DD63C6" w:rsidRPr="00DD63C6" w:rsidRDefault="00DD63C6" w:rsidP="00DD63C6">
      <w:pPr>
        <w:pStyle w:val="a3"/>
        <w:ind w:firstLine="1134"/>
        <w:rPr>
          <w:rFonts w:ascii="Times New Roman" w:hAnsi="Times New Roman" w:cs="Times New Roman"/>
          <w:b/>
          <w:sz w:val="24"/>
          <w:szCs w:val="24"/>
        </w:rPr>
      </w:pPr>
      <w:r w:rsidRPr="00DD63C6">
        <w:rPr>
          <w:rFonts w:ascii="Times New Roman" w:hAnsi="Times New Roman" w:cs="Times New Roman"/>
          <w:b/>
          <w:sz w:val="24"/>
          <w:szCs w:val="24"/>
        </w:rPr>
        <w:t>Рост цен охватил все группы товаров</w:t>
      </w:r>
    </w:p>
    <w:p w:rsidR="00CA00E3" w:rsidRPr="00DD63C6" w:rsidRDefault="009D2010" w:rsidP="00CA00E3">
      <w:pPr>
        <w:pStyle w:val="a3"/>
        <w:ind w:firstLine="1134"/>
        <w:rPr>
          <w:rFonts w:ascii="Times New Roman" w:hAnsi="Times New Roman" w:cs="Times New Roman"/>
          <w:sz w:val="24"/>
          <w:szCs w:val="24"/>
        </w:rPr>
      </w:pPr>
      <w:hyperlink r:id="rId7" w:history="1">
        <w:r w:rsidR="00DD63C6" w:rsidRPr="005F7492">
          <w:rPr>
            <w:rStyle w:val="a5"/>
            <w:rFonts w:ascii="Times New Roman" w:hAnsi="Times New Roman" w:cs="Times New Roman"/>
            <w:sz w:val="24"/>
            <w:szCs w:val="24"/>
          </w:rPr>
          <w:t>https://iz.ru/1194280/dmitrii-migunov/teper-bananovyi-rost-tcen-okhvatil-vse-gruppy-tovarov</w:t>
        </w:r>
      </w:hyperlink>
      <w:r w:rsidR="00DD63C6">
        <w:rPr>
          <w:rFonts w:ascii="Times New Roman" w:hAnsi="Times New Roman" w:cs="Times New Roman"/>
          <w:sz w:val="24"/>
          <w:szCs w:val="24"/>
        </w:rPr>
        <w:t xml:space="preserve"> </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Инфляция стремительно захватывает глобальную экономику. В России цены в июне выросли на 6,5% по сравнению с тем же периодом прошлого года. В США потребительские цены достигли 5,4%, самый высокий показатель за последние 13 лет. Цены растут с ускорением в Европе и Азии. Нет региона, защищенного от инфляции, и практически нет групп товаров и услуг, которые бы не были затронуты эти явлением в той или иной степени. Тем не менее отдельные категории выделяются даже на общем фоне.</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Кофе</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Цены на кофе на американских биржах за последние три месяца подскочили на 18%, до $1,51 за фунт (около $3,8 за килограмм). В Лондоне сорт </w:t>
      </w:r>
      <w:proofErr w:type="spellStart"/>
      <w:r w:rsidRPr="00DD63C6">
        <w:rPr>
          <w:rFonts w:ascii="Times New Roman" w:hAnsi="Times New Roman" w:cs="Times New Roman"/>
          <w:sz w:val="24"/>
          <w:szCs w:val="24"/>
        </w:rPr>
        <w:t>робуста</w:t>
      </w:r>
      <w:proofErr w:type="spellEnd"/>
      <w:r w:rsidRPr="00DD63C6">
        <w:rPr>
          <w:rFonts w:ascii="Times New Roman" w:hAnsi="Times New Roman" w:cs="Times New Roman"/>
          <w:sz w:val="24"/>
          <w:szCs w:val="24"/>
        </w:rPr>
        <w:t xml:space="preserve"> подорожал до $1750 за тонну. В обоих случаях речь идет о многолетних максимумах, </w:t>
      </w:r>
      <w:proofErr w:type="gramStart"/>
      <w:r w:rsidRPr="00DD63C6">
        <w:rPr>
          <w:rFonts w:ascii="Times New Roman" w:hAnsi="Times New Roman" w:cs="Times New Roman"/>
          <w:sz w:val="24"/>
          <w:szCs w:val="24"/>
        </w:rPr>
        <w:t>притом</w:t>
      </w:r>
      <w:proofErr w:type="gramEnd"/>
      <w:r w:rsidRPr="00DD63C6">
        <w:rPr>
          <w:rFonts w:ascii="Times New Roman" w:hAnsi="Times New Roman" w:cs="Times New Roman"/>
          <w:sz w:val="24"/>
          <w:szCs w:val="24"/>
        </w:rPr>
        <w:t xml:space="preserve"> что кофе вообще со второй половины позапрошлого десятилетия находится на довольно высоких по историческим меркам уровнях.</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Главная причина роста — сильнейшая засуха в Бразилии, которая привела к самому серьезному падению урожаев за 20 лет (с 70 млн до 56 млн мешков). Есть и другие факторы, в частности растущее потребление (в кризис люди стали пить больше кофе дома, но сейчас охотно возвращаются в кофейни). Наконец, в Колумбии и Вьетнаме, где урожаи вполне приличные, наблюдаются проблемы с вывозом — не </w:t>
      </w:r>
      <w:r w:rsidRPr="00DD63C6">
        <w:rPr>
          <w:rFonts w:ascii="Times New Roman" w:hAnsi="Times New Roman" w:cs="Times New Roman"/>
          <w:sz w:val="24"/>
          <w:szCs w:val="24"/>
        </w:rPr>
        <w:lastRenderedPageBreak/>
        <w:t>хватает судов и контейнеров. Эта общая для всех секторов экономики проблема, впервые заявившая о себе прошлой осенью, до сих пор не поддается решению.</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В России пока цены на кофе находятся на терпимом уровне, но в ближайшее время ситуация может измениться из-за проблем с фрахтом и низким курсом рубля. Хотя цена кофейных зерен в конечной стоимости играет не единственную роль, рано или поздно производителям придется переложить часть издержек на покупателей.</w:t>
      </w:r>
    </w:p>
    <w:p w:rsidR="00DD63C6" w:rsidRDefault="00DD63C6"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Бананы</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В текущем году в России бананы подорожали до пятилетнего максимума. В апреле килограмм в среднем стоил 89 рублей, что лишь чуть ниже исторического максимума в 95 рублей, зафиксированного в 2013 году. Рост цен объясняют множеством факторов: от извержения вулканов в Эквадоре (главном экспортере бананов в мире) до грибка </w:t>
      </w:r>
      <w:proofErr w:type="spellStart"/>
      <w:r w:rsidRPr="00DD63C6">
        <w:rPr>
          <w:rFonts w:ascii="Times New Roman" w:hAnsi="Times New Roman" w:cs="Times New Roman"/>
          <w:sz w:val="24"/>
          <w:szCs w:val="24"/>
        </w:rPr>
        <w:t>Tropical</w:t>
      </w:r>
      <w:proofErr w:type="spellEnd"/>
      <w:r w:rsidRPr="00DD63C6">
        <w:rPr>
          <w:rFonts w:ascii="Times New Roman" w:hAnsi="Times New Roman" w:cs="Times New Roman"/>
          <w:sz w:val="24"/>
          <w:szCs w:val="24"/>
        </w:rPr>
        <w:t xml:space="preserve"> </w:t>
      </w:r>
      <w:proofErr w:type="spellStart"/>
      <w:r w:rsidRPr="00DD63C6">
        <w:rPr>
          <w:rFonts w:ascii="Times New Roman" w:hAnsi="Times New Roman" w:cs="Times New Roman"/>
          <w:sz w:val="24"/>
          <w:szCs w:val="24"/>
        </w:rPr>
        <w:t>Race</w:t>
      </w:r>
      <w:proofErr w:type="spellEnd"/>
      <w:r w:rsidRPr="00DD63C6">
        <w:rPr>
          <w:rFonts w:ascii="Times New Roman" w:hAnsi="Times New Roman" w:cs="Times New Roman"/>
          <w:sz w:val="24"/>
          <w:szCs w:val="24"/>
        </w:rPr>
        <w:t xml:space="preserve"> 4, который угрожает уничтожить вообще всю популяцию бананов. Допускалось влияние посредников, а также затруднений с логистикой.</w:t>
      </w:r>
    </w:p>
    <w:p w:rsidR="00CA00E3" w:rsidRPr="00DD63C6" w:rsidRDefault="00CA00E3"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Бензин</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Цена на бензин Аи-92 на Санкт-Петербургской бирже на этой неделе установила новый рекорд. Тонну можно было купить за 56 тыс. рублей. Цены на Аи-94 и дизель также близки к максимальным показателям. Вверх бензин подтолкнул высокий спрос на топливо в летний период. В рознице цены пока не достигли рекорда, но это вопрос времени. Демпферный механизм, действовавший последние два года, судя по всему, надежд не оправдывает, так что правительство задумывается о заключении сделки с крупнейшими нефтяными компаниями о заморозке цен.</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Проблема дорогого бензина не ограничивается Россией, в схожей ситуации находятся и США, столь же крупный производитель нефти. Цены на бензин, по данным Управления энергетической информации страны, достигли $3,13 за галлон. Последний раз такое фиксировалось в октябре 2014 года. В американском случае рост цен можно объяснить общим подорожанием нефти. Цена на черное золото уже несколько недель не опускается ниже $70 за баррель. Подобную картину можно увидеть во всех странах, где цены на бензин напрямую не регулируются.</w:t>
      </w:r>
    </w:p>
    <w:p w:rsidR="00CA00E3" w:rsidRPr="00DD63C6" w:rsidRDefault="00CA00E3"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Компьютерная техника</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В случае с компьютерными комплектующими проблема достигла такого уровня, что говорить можно было уже не о росте цен, а о прямом дефиците. В России видеокарты весной просто исчезли с прилавков, а если и появлялись, то по ценам, превышающим номинал на 400–500%. Сейчас ситуация немного успокоилась, но стоимость видеокарт по-прежнему в полтора-два раза обходит «рекомендуемые» цены. Другие комплектующие и уже собранные компьютеры выглядят хорошо только на фоне видеокарт, но и там отраслевая инфляция впечатляющая: за 2020 год они поднялись в цене на 25–35%, а в первом квартале еще на 10–12%. В ближайшие месяцы цены могут вырасти еще на четверть или треть.</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Здесь сошлось сразу множество факторов: пандемия привела к приостановке производства полупроводников на многих заводах, параллельно увеличив спрос на технику. Судя по всему, обе проблемы едва ли решатся до 2022 года. Что касается видеокарт, то тут добавился еще и бум </w:t>
      </w:r>
      <w:proofErr w:type="spellStart"/>
      <w:r w:rsidRPr="00DD63C6">
        <w:rPr>
          <w:rFonts w:ascii="Times New Roman" w:hAnsi="Times New Roman" w:cs="Times New Roman"/>
          <w:sz w:val="24"/>
          <w:szCs w:val="24"/>
        </w:rPr>
        <w:t>майнинга</w:t>
      </w:r>
      <w:proofErr w:type="spellEnd"/>
      <w:r w:rsidRPr="00DD63C6">
        <w:rPr>
          <w:rFonts w:ascii="Times New Roman" w:hAnsi="Times New Roman" w:cs="Times New Roman"/>
          <w:sz w:val="24"/>
          <w:szCs w:val="24"/>
        </w:rPr>
        <w:t xml:space="preserve">, из-за которого все графические процессоры ушли в руки добытчиков </w:t>
      </w:r>
      <w:proofErr w:type="spellStart"/>
      <w:r w:rsidRPr="00DD63C6">
        <w:rPr>
          <w:rFonts w:ascii="Times New Roman" w:hAnsi="Times New Roman" w:cs="Times New Roman"/>
          <w:sz w:val="24"/>
          <w:szCs w:val="24"/>
        </w:rPr>
        <w:t>криптовалюты</w:t>
      </w:r>
      <w:proofErr w:type="spellEnd"/>
      <w:r w:rsidRPr="00DD63C6">
        <w:rPr>
          <w:rFonts w:ascii="Times New Roman" w:hAnsi="Times New Roman" w:cs="Times New Roman"/>
          <w:sz w:val="24"/>
          <w:szCs w:val="24"/>
        </w:rPr>
        <w:t xml:space="preserve">, которую было выгодно </w:t>
      </w:r>
      <w:proofErr w:type="spellStart"/>
      <w:r w:rsidRPr="00DD63C6">
        <w:rPr>
          <w:rFonts w:ascii="Times New Roman" w:hAnsi="Times New Roman" w:cs="Times New Roman"/>
          <w:sz w:val="24"/>
          <w:szCs w:val="24"/>
        </w:rPr>
        <w:t>майнить</w:t>
      </w:r>
      <w:proofErr w:type="spellEnd"/>
      <w:r w:rsidRPr="00DD63C6">
        <w:rPr>
          <w:rFonts w:ascii="Times New Roman" w:hAnsi="Times New Roman" w:cs="Times New Roman"/>
          <w:sz w:val="24"/>
          <w:szCs w:val="24"/>
        </w:rPr>
        <w:t xml:space="preserve"> даже по таким ценам. Сейчас эта проблема немного отступила из-за обвала курса разнообразной «крипты», но кто знает, что будет дальше. Наконец, свою роль сыграла и девальвация рубля — в этой отрасли </w:t>
      </w:r>
      <w:proofErr w:type="spellStart"/>
      <w:r w:rsidRPr="00DD63C6">
        <w:rPr>
          <w:rFonts w:ascii="Times New Roman" w:hAnsi="Times New Roman" w:cs="Times New Roman"/>
          <w:sz w:val="24"/>
          <w:szCs w:val="24"/>
        </w:rPr>
        <w:t>импортозамещение</w:t>
      </w:r>
      <w:proofErr w:type="spellEnd"/>
      <w:r w:rsidRPr="00DD63C6">
        <w:rPr>
          <w:rFonts w:ascii="Times New Roman" w:hAnsi="Times New Roman" w:cs="Times New Roman"/>
          <w:sz w:val="24"/>
          <w:szCs w:val="24"/>
        </w:rPr>
        <w:t xml:space="preserve"> невозможно. Цены на компьютеры и полупроводники мало того что сами по себе неприятно высоки, так еще и разгоняют инфляцию во многих других секторах, вплоть до автомобилестроения.</w:t>
      </w:r>
    </w:p>
    <w:p w:rsidR="00DD63C6" w:rsidRDefault="00DD63C6"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lastRenderedPageBreak/>
        <w:t>Стройматериалы</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Для индивидуального строительства, которое вплоть до прошлого года уверенно росло, наступают не самые простые времена. Цены на пиломатериалы поднялись в два-три раза по сравнению с предыдущим годом. Кубометр доски в строительной рознице подорожал с 12 тыс. до 25 тыс. рублей. Резко повысились цены и на сложные детали домов, а также цемент и песок. У строительных компаний положение, впрочем, не лучше: дорожают практически все материалы и компоненты: металлы, цемент, стекло и т. д. Индустрия стройматериалов оказалась не готова к росту спроса из-за резкого увеличения жилищного строительства, произошедшего в прошлом году (на что, в свою очередь, повлияла льготная ипотека и другие программы).</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Цены в этой сфере также растут в общемировом масштабе. Масштабные инфраструктурные программы, принятые в антикризисном порядке во множестве стран, требуют огромного количества металла, бетона и дерева, а промышленность, которой порой приходилось работать в условиях </w:t>
      </w:r>
      <w:proofErr w:type="spellStart"/>
      <w:r w:rsidRPr="00DD63C6">
        <w:rPr>
          <w:rFonts w:ascii="Times New Roman" w:hAnsi="Times New Roman" w:cs="Times New Roman"/>
          <w:sz w:val="24"/>
          <w:szCs w:val="24"/>
        </w:rPr>
        <w:t>локдаунов</w:t>
      </w:r>
      <w:proofErr w:type="spellEnd"/>
      <w:r w:rsidRPr="00DD63C6">
        <w:rPr>
          <w:rFonts w:ascii="Times New Roman" w:hAnsi="Times New Roman" w:cs="Times New Roman"/>
          <w:sz w:val="24"/>
          <w:szCs w:val="24"/>
        </w:rPr>
        <w:t>, за спросом явно не поспевала. Потребует минимум несколько месяцев, чтобы на рынке установился баланс.</w:t>
      </w:r>
    </w:p>
    <w:p w:rsidR="00DD63C6" w:rsidRDefault="00DD63C6"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Логистика всё хуже</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В целом, однако, инфляционная картина остается тревожной. Одна из главных проблем — логистическая — не только не решена, но и продолжает усугубляться. Ставка на перевозку 40-футового контейнера из Шанхая в Лос-Анджелес на прошлой неделе составила $9,6 тыс. Для сравнения, в начале 2020 года она не превышала $1,5 тыс. Аналитики допускают, что расценки могут достигнуть $15 тыс. При таких «запретительных» тарифах на перевозку о погашении инфляции придется забыть надолго. И агрессивный подъем ставки Банка России, на который рассчитывают как на самое верное лекарство против роста цен, тут вряд ли чем-то поможет. Нынешняя инфляция, которая связана с процессами в мировых транспортных и технологических цепочках, не очень-то ориентируется на ставки рефинансирования.</w:t>
      </w:r>
    </w:p>
    <w:p w:rsidR="00CA00E3" w:rsidRPr="00DD63C6" w:rsidRDefault="00CA00E3" w:rsidP="00CA00E3">
      <w:pPr>
        <w:pStyle w:val="a3"/>
        <w:ind w:firstLine="1134"/>
        <w:rPr>
          <w:rFonts w:ascii="Times New Roman" w:hAnsi="Times New Roman" w:cs="Times New Roman"/>
          <w:sz w:val="24"/>
          <w:szCs w:val="24"/>
        </w:rPr>
      </w:pPr>
    </w:p>
    <w:p w:rsidR="00CA00E3" w:rsidRPr="00DD63C6" w:rsidRDefault="00CA00E3" w:rsidP="00CA00E3">
      <w:pPr>
        <w:pStyle w:val="a3"/>
        <w:ind w:firstLine="1134"/>
        <w:rPr>
          <w:rFonts w:ascii="Times New Roman" w:hAnsi="Times New Roman" w:cs="Times New Roman"/>
          <w:sz w:val="24"/>
          <w:szCs w:val="24"/>
        </w:rPr>
      </w:pPr>
    </w:p>
    <w:p w:rsidR="00DD63C6" w:rsidRPr="00DD63C6" w:rsidRDefault="00DD63C6" w:rsidP="00DD63C6">
      <w:pPr>
        <w:pStyle w:val="a3"/>
        <w:ind w:firstLine="1134"/>
        <w:rPr>
          <w:rFonts w:ascii="Times New Roman" w:hAnsi="Times New Roman" w:cs="Times New Roman"/>
          <w:b/>
          <w:sz w:val="24"/>
          <w:szCs w:val="24"/>
        </w:rPr>
      </w:pPr>
      <w:r w:rsidRPr="00DD63C6">
        <w:rPr>
          <w:rFonts w:ascii="Times New Roman" w:hAnsi="Times New Roman" w:cs="Times New Roman"/>
          <w:b/>
          <w:sz w:val="24"/>
          <w:szCs w:val="24"/>
        </w:rPr>
        <w:t xml:space="preserve">Еврокомиссия увидела дискриминацию в российском </w:t>
      </w:r>
      <w:proofErr w:type="spellStart"/>
      <w:r w:rsidRPr="00DD63C6">
        <w:rPr>
          <w:rFonts w:ascii="Times New Roman" w:hAnsi="Times New Roman" w:cs="Times New Roman"/>
          <w:b/>
          <w:sz w:val="24"/>
          <w:szCs w:val="24"/>
        </w:rPr>
        <w:t>импортозамещении</w:t>
      </w:r>
      <w:proofErr w:type="spellEnd"/>
    </w:p>
    <w:p w:rsidR="00CA00E3" w:rsidRPr="00DD63C6" w:rsidRDefault="009D2010" w:rsidP="00CA00E3">
      <w:pPr>
        <w:pStyle w:val="a3"/>
        <w:ind w:firstLine="1134"/>
        <w:rPr>
          <w:rFonts w:ascii="Times New Roman" w:hAnsi="Times New Roman" w:cs="Times New Roman"/>
          <w:sz w:val="24"/>
          <w:szCs w:val="24"/>
        </w:rPr>
      </w:pPr>
      <w:hyperlink r:id="rId8" w:history="1">
        <w:r w:rsidR="00DD63C6" w:rsidRPr="005F7492">
          <w:rPr>
            <w:rStyle w:val="a5"/>
            <w:rFonts w:ascii="Times New Roman" w:hAnsi="Times New Roman" w:cs="Times New Roman"/>
            <w:sz w:val="24"/>
            <w:szCs w:val="24"/>
          </w:rPr>
          <w:t>https://www.kommersant.ru/doc/4908939</w:t>
        </w:r>
      </w:hyperlink>
      <w:r w:rsidR="00DD63C6">
        <w:rPr>
          <w:rFonts w:ascii="Times New Roman" w:hAnsi="Times New Roman" w:cs="Times New Roman"/>
          <w:sz w:val="24"/>
          <w:szCs w:val="24"/>
        </w:rPr>
        <w:t xml:space="preserve"> </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Евросоюз запрашивает консультации с Россией в рамках механизмов Всемирной торговой организации (ВТО) из-за ранее введенных РФ протекционистских мер, которые ограничивают участие европейских компаний в закупках компаний с </w:t>
      </w:r>
      <w:proofErr w:type="spellStart"/>
      <w:r w:rsidRPr="00DD63C6">
        <w:rPr>
          <w:rFonts w:ascii="Times New Roman" w:hAnsi="Times New Roman" w:cs="Times New Roman"/>
          <w:sz w:val="24"/>
          <w:szCs w:val="24"/>
        </w:rPr>
        <w:t>госучастием</w:t>
      </w:r>
      <w:proofErr w:type="spellEnd"/>
      <w:r w:rsidRPr="00DD63C6">
        <w:rPr>
          <w:rFonts w:ascii="Times New Roman" w:hAnsi="Times New Roman" w:cs="Times New Roman"/>
          <w:sz w:val="24"/>
          <w:szCs w:val="24"/>
        </w:rPr>
        <w:t xml:space="preserve"> (ФЗ-223). Как сообщила вчера Еврокомиссия (ЕК), «такая практика, вероятно, противоречит правилам ВТО, которые требуют, чтобы Россия не дискриминировала иностранные компании в этой сфере».</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Беспокойство европейцев вызвали три нормы.</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Прежде всего это механизм ценовых преференций для российских поставщиков — при оценке заявок на участие в закупке российские товары считаются на 15% (до 30% по отдельным позициям) дешевле, чем указано в заявке. Вторая норма касается получения госкомпаниями предварительного разрешения на закупку машиностроительной продукции за рубежом, его выдает правительственная комиссия по </w:t>
      </w:r>
      <w:proofErr w:type="spellStart"/>
      <w:r w:rsidRPr="00DD63C6">
        <w:rPr>
          <w:rFonts w:ascii="Times New Roman" w:hAnsi="Times New Roman" w:cs="Times New Roman"/>
          <w:sz w:val="24"/>
          <w:szCs w:val="24"/>
        </w:rPr>
        <w:t>импортозамещению</w:t>
      </w:r>
      <w:proofErr w:type="spellEnd"/>
      <w:r w:rsidRPr="00DD63C6">
        <w:rPr>
          <w:rFonts w:ascii="Times New Roman" w:hAnsi="Times New Roman" w:cs="Times New Roman"/>
          <w:sz w:val="24"/>
          <w:szCs w:val="24"/>
        </w:rPr>
        <w:t>. «Разрешение выдается на произвольной основе и не требуется для закупки отечественной машиностроительной продукции»,— указано в сообщении ЕК. Третий блок касается обязательств госкомпаний по минимальной доле закупок российской продукции — норма действует с 2020 года и распространяется на 250 товаров, включая автомобили, оборудование, медицинские приборы и текстильные изделия.</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 xml:space="preserve">Отметим, что еще на этапе обсуждения этих правил Государственно-правовое управление президента критиковало их как раз из-за несоответствия нормам ВТО. Россия при вступлении в эту организацию не присоединилась к соглашению о </w:t>
      </w:r>
      <w:proofErr w:type="spellStart"/>
      <w:r w:rsidRPr="00DD63C6">
        <w:rPr>
          <w:rFonts w:ascii="Times New Roman" w:hAnsi="Times New Roman" w:cs="Times New Roman"/>
          <w:sz w:val="24"/>
          <w:szCs w:val="24"/>
        </w:rPr>
        <w:t>госзакупках</w:t>
      </w:r>
      <w:proofErr w:type="spellEnd"/>
      <w:r w:rsidRPr="00DD63C6">
        <w:rPr>
          <w:rFonts w:ascii="Times New Roman" w:hAnsi="Times New Roman" w:cs="Times New Roman"/>
          <w:sz w:val="24"/>
          <w:szCs w:val="24"/>
        </w:rPr>
        <w:t xml:space="preserve"> </w:t>
      </w:r>
      <w:r w:rsidRPr="00DD63C6">
        <w:rPr>
          <w:rFonts w:ascii="Times New Roman" w:hAnsi="Times New Roman" w:cs="Times New Roman"/>
          <w:sz w:val="24"/>
          <w:szCs w:val="24"/>
        </w:rPr>
        <w:lastRenderedPageBreak/>
        <w:t>(участие в нем является добровольным), что и позволяет вводить квоты при формировании госзаказа, но для госкомпаний такой однозначности нет. Владимир Путин отмечал, что никаких нарушений правил ВТО нет, но рекомендовал правительству продумать механизм «</w:t>
      </w:r>
      <w:proofErr w:type="spellStart"/>
      <w:r w:rsidRPr="00DD63C6">
        <w:rPr>
          <w:rFonts w:ascii="Times New Roman" w:hAnsi="Times New Roman" w:cs="Times New Roman"/>
          <w:sz w:val="24"/>
          <w:szCs w:val="24"/>
        </w:rPr>
        <w:t>потоньше</w:t>
      </w:r>
      <w:proofErr w:type="spellEnd"/>
      <w:r w:rsidRPr="00DD63C6">
        <w:rPr>
          <w:rFonts w:ascii="Times New Roman" w:hAnsi="Times New Roman" w:cs="Times New Roman"/>
          <w:sz w:val="24"/>
          <w:szCs w:val="24"/>
        </w:rPr>
        <w:t xml:space="preserve">» для компаний с </w:t>
      </w:r>
      <w:proofErr w:type="spellStart"/>
      <w:r w:rsidRPr="00DD63C6">
        <w:rPr>
          <w:rFonts w:ascii="Times New Roman" w:hAnsi="Times New Roman" w:cs="Times New Roman"/>
          <w:sz w:val="24"/>
          <w:szCs w:val="24"/>
        </w:rPr>
        <w:t>госучастием</w:t>
      </w:r>
      <w:proofErr w:type="spellEnd"/>
      <w:r w:rsidRPr="00DD63C6">
        <w:rPr>
          <w:rFonts w:ascii="Times New Roman" w:hAnsi="Times New Roman" w:cs="Times New Roman"/>
          <w:sz w:val="24"/>
          <w:szCs w:val="24"/>
        </w:rPr>
        <w:t>.</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Впрочем, оспорить нормы в рамках ВТО сейчас нельзя, так как после решения панели арбитров (с учетом официальных консультаций до вынесения решения проходит не менее двух лет) другая сторона может подать апелляцию — и в условиях нехватки судей в этой инстанции вынесение финального решения будет отсрочено.</w:t>
      </w:r>
    </w:p>
    <w:p w:rsidR="00CA00E3" w:rsidRPr="00DD63C6" w:rsidRDefault="00CA00E3" w:rsidP="00CA00E3">
      <w:pPr>
        <w:pStyle w:val="a3"/>
        <w:ind w:firstLine="1134"/>
        <w:rPr>
          <w:rFonts w:ascii="Times New Roman" w:hAnsi="Times New Roman" w:cs="Times New Roman"/>
          <w:sz w:val="24"/>
          <w:szCs w:val="24"/>
        </w:rPr>
      </w:pPr>
      <w:r w:rsidRPr="00DD63C6">
        <w:rPr>
          <w:rFonts w:ascii="Times New Roman" w:hAnsi="Times New Roman" w:cs="Times New Roman"/>
          <w:sz w:val="24"/>
          <w:szCs w:val="24"/>
        </w:rPr>
        <w:t>В 2020 году страны подали всего пять запросов в ВТО (в 2019 году их было 20) — абсолютный минимум за все время работы организации. Помимо влияния пандемии такое снижение активности объясняется и тем, что США по-прежнему блокируют назначение новых судей апелляционного органа организации. Его работа приостановлена с 10 декабря 2019 года, когда истек срок полномочий очередного судьи (для вынесения решения иск должен рассматриваться минимум тремя судьями). Теперь, несмотря на то что основной орган по разрешению споров ВТО продолжает работать, исполнение его решений фактически становится добровольным делом, ведь окончательным считается решение именно апелляционной инстанции.</w:t>
      </w:r>
    </w:p>
    <w:p w:rsidR="00CA00E3" w:rsidRPr="00DD63C6" w:rsidRDefault="00CA00E3" w:rsidP="00CA00E3">
      <w:pPr>
        <w:pStyle w:val="a3"/>
        <w:ind w:firstLine="1134"/>
        <w:rPr>
          <w:rFonts w:ascii="Times New Roman" w:hAnsi="Times New Roman" w:cs="Times New Roman"/>
          <w:sz w:val="24"/>
          <w:szCs w:val="24"/>
        </w:rPr>
      </w:pPr>
    </w:p>
    <w:sectPr w:rsidR="00CA00E3" w:rsidRPr="00DD63C6" w:rsidSect="00563108">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C6"/>
    <w:rsid w:val="0009060B"/>
    <w:rsid w:val="005D12C6"/>
    <w:rsid w:val="009D2010"/>
    <w:rsid w:val="00B82E80"/>
    <w:rsid w:val="00CA00E3"/>
    <w:rsid w:val="00DD6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1891A-B2CF-43BB-A429-47ED8D1E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63108"/>
    <w:pPr>
      <w:spacing w:after="0" w:line="240" w:lineRule="auto"/>
    </w:pPr>
    <w:rPr>
      <w:rFonts w:ascii="Consolas" w:hAnsi="Consolas"/>
      <w:sz w:val="21"/>
      <w:szCs w:val="21"/>
    </w:rPr>
  </w:style>
  <w:style w:type="character" w:customStyle="1" w:styleId="a4">
    <w:name w:val="Текст Знак"/>
    <w:basedOn w:val="a0"/>
    <w:link w:val="a3"/>
    <w:uiPriority w:val="99"/>
    <w:rsid w:val="00563108"/>
    <w:rPr>
      <w:rFonts w:ascii="Consolas" w:hAnsi="Consolas"/>
      <w:sz w:val="21"/>
      <w:szCs w:val="21"/>
    </w:rPr>
  </w:style>
  <w:style w:type="character" w:styleId="a5">
    <w:name w:val="Hyperlink"/>
    <w:basedOn w:val="a0"/>
    <w:uiPriority w:val="99"/>
    <w:unhideWhenUsed/>
    <w:rsid w:val="00DD6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mersant.ru/doc/4908939" TargetMode="External"/><Relationship Id="rId3" Type="http://schemas.openxmlformats.org/officeDocument/2006/relationships/webSettings" Target="webSettings.xml"/><Relationship Id="rId7" Type="http://schemas.openxmlformats.org/officeDocument/2006/relationships/hyperlink" Target="https://iz.ru/1194280/dmitrii-migunov/teper-bananovyi-rost-tcen-okhvatil-vse-gruppy-tovar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zeta.ru/business/2021/07/19/13767998.shtml" TargetMode="External"/><Relationship Id="rId5" Type="http://schemas.openxmlformats.org/officeDocument/2006/relationships/hyperlink" Target="https://www.rbc.ru/finances/20/07/2021/60f5665a9a79478a0a3c72e4" TargetMode="External"/><Relationship Id="rId10" Type="http://schemas.openxmlformats.org/officeDocument/2006/relationships/theme" Target="theme/theme1.xml"/><Relationship Id="rId4" Type="http://schemas.openxmlformats.org/officeDocument/2006/relationships/hyperlink" Target="https://www.kommersant.ru/doc/490887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3375</Words>
  <Characters>19243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2021-08-03T09:07:00Z</dcterms:created>
  <dcterms:modified xsi:type="dcterms:W3CDTF">2021-08-03T09:07:00Z</dcterms:modified>
</cp:coreProperties>
</file>