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9" w:rsidRPr="00756F39" w:rsidRDefault="00756F39" w:rsidP="00756F39">
      <w:pPr>
        <w:pStyle w:val="a3"/>
        <w:ind w:firstLine="1134"/>
        <w:rPr>
          <w:rFonts w:ascii="Times New Roman" w:hAnsi="Times New Roman" w:cs="Times New Roman"/>
          <w:b/>
          <w:sz w:val="24"/>
          <w:szCs w:val="24"/>
        </w:rPr>
      </w:pPr>
      <w:bookmarkStart w:id="0" w:name="_GoBack"/>
      <w:bookmarkEnd w:id="0"/>
      <w:r w:rsidRPr="00756F39">
        <w:rPr>
          <w:rFonts w:ascii="Times New Roman" w:hAnsi="Times New Roman" w:cs="Times New Roman"/>
          <w:b/>
          <w:sz w:val="24"/>
          <w:szCs w:val="24"/>
        </w:rPr>
        <w:t xml:space="preserve">О проверках и регуляторной гильотине - интервью «Известиям» замминистра экономического развития Алексея </w:t>
      </w:r>
      <w:proofErr w:type="spellStart"/>
      <w:r w:rsidRPr="00756F39">
        <w:rPr>
          <w:rFonts w:ascii="Times New Roman" w:hAnsi="Times New Roman" w:cs="Times New Roman"/>
          <w:b/>
          <w:sz w:val="24"/>
          <w:szCs w:val="24"/>
        </w:rPr>
        <w:t>Херсонцева</w:t>
      </w:r>
      <w:proofErr w:type="spellEnd"/>
      <w:r w:rsidRPr="00756F39">
        <w:rPr>
          <w:rFonts w:ascii="Times New Roman" w:hAnsi="Times New Roman" w:cs="Times New Roman"/>
          <w:b/>
          <w:sz w:val="24"/>
          <w:szCs w:val="24"/>
        </w:rPr>
        <w:t xml:space="preserve"> </w:t>
      </w:r>
    </w:p>
    <w:p w:rsidR="006929CB" w:rsidRPr="00756F39" w:rsidRDefault="00625446" w:rsidP="006929CB">
      <w:pPr>
        <w:pStyle w:val="a3"/>
        <w:ind w:firstLine="1134"/>
        <w:rPr>
          <w:rFonts w:ascii="Times New Roman" w:hAnsi="Times New Roman" w:cs="Times New Roman"/>
          <w:sz w:val="24"/>
          <w:szCs w:val="24"/>
        </w:rPr>
      </w:pPr>
      <w:hyperlink r:id="rId4" w:history="1">
        <w:r w:rsidR="00756F39" w:rsidRPr="00616AF5">
          <w:rPr>
            <w:rStyle w:val="a5"/>
            <w:rFonts w:ascii="Times New Roman" w:hAnsi="Times New Roman" w:cs="Times New Roman"/>
            <w:sz w:val="24"/>
            <w:szCs w:val="24"/>
          </w:rPr>
          <w:t>https://iz.ru/1105371/ekaterina-vinogradova/chislo-proverok-biznesa-vyrastet-v-2021-godu</w:t>
        </w:r>
      </w:hyperlink>
      <w:r w:rsidR="00756F39">
        <w:rPr>
          <w:rFonts w:ascii="Times New Roman" w:hAnsi="Times New Roman" w:cs="Times New Roman"/>
          <w:sz w:val="24"/>
          <w:szCs w:val="24"/>
        </w:rPr>
        <w:t xml:space="preserve"> </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В 2020 году количество проверок бизнеса сократилось вдвое (на 51,4%) — частично благодаря мораторию на плановый контроль малых предприятий, частично из-за пандемии. Чего предпринимателям ждать в 2021 году?</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Если жить в парадигме, что число проверок имеет значение, то их число однозначно вырастет. В 2020-м ведомства и службы проводили намного меньше контрольных мероприятий, и в 2021 году они планируют начать потихоньку наверстывать упущенное: не потому что руки чешутся, а потому что уже действительно пора сходить и посмотреть на некоторые объекты. То есть существует отложенный спрос.</w:t>
      </w: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Из каких ведомств проверяющие придут в первую очередь?</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Из МЧС, </w:t>
      </w:r>
      <w:proofErr w:type="spellStart"/>
      <w:r w:rsidRPr="00756F39">
        <w:rPr>
          <w:rFonts w:ascii="Times New Roman" w:hAnsi="Times New Roman" w:cs="Times New Roman"/>
          <w:sz w:val="24"/>
          <w:szCs w:val="24"/>
        </w:rPr>
        <w:t>Роспотребнадзора</w:t>
      </w:r>
      <w:proofErr w:type="spellEnd"/>
      <w:r w:rsidRPr="00756F39">
        <w:rPr>
          <w:rFonts w:ascii="Times New Roman" w:hAnsi="Times New Roman" w:cs="Times New Roman"/>
          <w:sz w:val="24"/>
          <w:szCs w:val="24"/>
        </w:rPr>
        <w:t xml:space="preserve">, </w:t>
      </w:r>
      <w:proofErr w:type="spellStart"/>
      <w:r w:rsidRPr="00756F39">
        <w:rPr>
          <w:rFonts w:ascii="Times New Roman" w:hAnsi="Times New Roman" w:cs="Times New Roman"/>
          <w:sz w:val="24"/>
          <w:szCs w:val="24"/>
        </w:rPr>
        <w:t>Роструда</w:t>
      </w:r>
      <w:proofErr w:type="spellEnd"/>
      <w:r w:rsidRPr="00756F39">
        <w:rPr>
          <w:rFonts w:ascii="Times New Roman" w:hAnsi="Times New Roman" w:cs="Times New Roman"/>
          <w:sz w:val="24"/>
          <w:szCs w:val="24"/>
        </w:rPr>
        <w:t xml:space="preserve"> и </w:t>
      </w:r>
      <w:proofErr w:type="spellStart"/>
      <w:r w:rsidRPr="00756F39">
        <w:rPr>
          <w:rFonts w:ascii="Times New Roman" w:hAnsi="Times New Roman" w:cs="Times New Roman"/>
          <w:sz w:val="24"/>
          <w:szCs w:val="24"/>
        </w:rPr>
        <w:t>Россельхознадзора</w:t>
      </w:r>
      <w:proofErr w:type="spellEnd"/>
      <w:r w:rsidRPr="00756F39">
        <w:rPr>
          <w:rFonts w:ascii="Times New Roman" w:hAnsi="Times New Roman" w:cs="Times New Roman"/>
          <w:sz w:val="24"/>
          <w:szCs w:val="24"/>
        </w:rPr>
        <w:t>. Это вполне объяснимо, ведь перечисленные организации — ключевые контролеры, которые проводят больше всего проверок. Однако у Минэкономразвития есть задача не допустить резкого роста контрольных мероприятий, она прописана в общенациональном плане восстановления экономики. И я уверен, что этого не произойдет, так как правительство продлило мораторий на плановые проверки малого бизнеса на весь 2021 год. Да, он не касается внепланового контроля, но давайте не будем забывать, что любая внеплановая проверка должна иметь под собой серьезное основание.</w:t>
      </w:r>
    </w:p>
    <w:p w:rsidR="00756F39" w:rsidRDefault="00756F39"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Ждать ли аналогичных поблажек среднему и крупному бизнесу? Особенно учитывая тот факт, что снижение проверок в 2020 году не привело к массовым нарушениям.</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«Цыплят по осени считают», — ответили бы на это контролеры, ведь любой риск имеет отложенный характер. В целом же сегодня мы отходим от того, чтобы отводить важную роль именно размеру бизнеса: в 2021 году вступает в силу закон «О государственном и муниципальном контроле», который закрепляет риск-ориентированный подход к проверкам. Это значит, что для каждого вида надзора будут определены основные риски и проверять будут прежде всего те организации, где их больше. Причем риски далеко не всегда зависят от размера компании: намного важнее, например, насколько опасные механизмы использует предприниматель, каковы показатели интенсивности его производства.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Мы рассчитываем, что при таком подходе проверки будут больше направлены на профилактику нарушений, а выездные контрольные мероприятия и вовсе станут редкостью. То, что раньше делалось при помощи проверок, теперь будет осуществляться другими, менее затратными для предпринимателей способами, например мониторингом, наблюдением. Если бизнес добросовестный, то, как правило, этого достаточно. Наша идеальная модель — «обязательные требования всеми соблюдаются, никого не проверяют». Понятно, что так никогда не будет, но мы планируем обеспечить максимальное соблюдение предписаний с минимальным количеством контактов между органами власти и бизнесом.</w:t>
      </w:r>
    </w:p>
    <w:p w:rsidR="00756F39" w:rsidRDefault="00756F39"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Кого активнее всего проверяли в 2020 году? Больше всех жалоб в публичном поле было от предпринимателей из сферы услуг, а именно ресторанного и гостиничного бизнеса.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Действительно, они высказывали много претензий, и это понятно — представителям перечисленных отраслей правда пришлось тяжело в пандемию. Однако в реальности больше всего проверок в 2020 году было проведено в образовательных </w:t>
      </w:r>
      <w:r w:rsidRPr="00756F39">
        <w:rPr>
          <w:rFonts w:ascii="Times New Roman" w:hAnsi="Times New Roman" w:cs="Times New Roman"/>
          <w:sz w:val="24"/>
          <w:szCs w:val="24"/>
        </w:rPr>
        <w:lastRenderedPageBreak/>
        <w:t>учреждениях. Как говорится, ключи ищут под фонарем: такие организации, особенно государственные, всегда проверяются очень тщательно — только перед началом учебного года туда приходят и пожарные, и МЧС, и служба по надзору в сфере образования. Всё, что связано с детьми, несет в себе повышенные риски. При этом на втором месте по числу проверок — организации здравоохранения, а в региональном разрезе вне конкуренции оказались управляющие компании многоквартирных домов. Почему распределение именно такое, нам предстоит выяснить в ближайшее время.</w:t>
      </w:r>
    </w:p>
    <w:p w:rsidR="006929CB"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w:t>
      </w:r>
      <w:r w:rsidR="00756F39">
        <w:rPr>
          <w:rFonts w:ascii="Times New Roman" w:hAnsi="Times New Roman" w:cs="Times New Roman"/>
          <w:sz w:val="24"/>
          <w:szCs w:val="24"/>
        </w:rPr>
        <w:t xml:space="preserve"> </w:t>
      </w:r>
      <w:r w:rsidRPr="00756F39">
        <w:rPr>
          <w:rFonts w:ascii="Times New Roman" w:hAnsi="Times New Roman" w:cs="Times New Roman"/>
          <w:sz w:val="24"/>
          <w:szCs w:val="24"/>
        </w:rPr>
        <w:t>Механизм «Трансформация делового климата» работает уже два года, но в начале 2020-го он был реструктурирован. Вместо единого плана мероприятий по ликвидации административных барьеров появились отдельные дорожные карты — пока по четырем направлениям (экспорт, корпоративное управление, интеллектуальная собственность, НТИ). Готовятся ли новые?</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Хорошие перспективы есть у дорожной карты в сфере строительства: традиционно у правительства масса инициатив по улучшению процедур в этой сфере. Кроме того, готовится карта, связанная с проблематикой природоохранного законодательства и экологии. Это сложная тема, и очень важно, чтобы принятые решения не отразились негативно на состоянии окружающей среды. В то же время в природоохранном законодательстве достаточно много норм, которые можно совершенствовать с тем, чтобы, например, упростить инвестирование в создание новых предприятий.</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Вместе с тем возможными направлениями для формирования дорожных карт выступают технологическое присоединение к сетям, условия и организация труда, регистрация прав собственности и кадастровый учет, а также искусственный интеллект.</w:t>
      </w:r>
    </w:p>
    <w:p w:rsidR="006929CB" w:rsidRPr="00756F39" w:rsidRDefault="006929CB" w:rsidP="006929CB">
      <w:pPr>
        <w:pStyle w:val="a3"/>
        <w:ind w:firstLine="1134"/>
        <w:rPr>
          <w:rFonts w:ascii="Times New Roman" w:hAnsi="Times New Roman" w:cs="Times New Roman"/>
          <w:sz w:val="24"/>
          <w:szCs w:val="24"/>
        </w:rPr>
      </w:pPr>
    </w:p>
    <w:p w:rsidR="006929CB"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Ключевой реформой 2020 года стала «регуляторная гильотина», в рамках которой планировалось ликвидировать множество устаревших и избыточных требований к бизнесу. Удалась ли она?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Да, «регуляторная гильотина» состоялась, правительство справилось с этой масштабной и сложной задачей. Более 11,5 тыс. нормативно-правовых актов утратили силу, а им на смену пришел 451 нормативный документ. Наибольшее обновление регулирования произошло в транспортной сфере: вместо отмененных 800 актов будет действовать 85. Количество требований к общепиту сократилось в пять раз: были пересмотрены сотни избыточных норм в СанПиН, ушли всевозможные детальные описания, например, как мыть посуду ручным способом. Значительную ревизию провели и в промышленной безопасности: </w:t>
      </w:r>
      <w:proofErr w:type="spellStart"/>
      <w:r w:rsidRPr="00756F39">
        <w:rPr>
          <w:rFonts w:ascii="Times New Roman" w:hAnsi="Times New Roman" w:cs="Times New Roman"/>
          <w:sz w:val="24"/>
          <w:szCs w:val="24"/>
        </w:rPr>
        <w:t>Ростехнадзор</w:t>
      </w:r>
      <w:proofErr w:type="spellEnd"/>
      <w:r w:rsidRPr="00756F39">
        <w:rPr>
          <w:rFonts w:ascii="Times New Roman" w:hAnsi="Times New Roman" w:cs="Times New Roman"/>
          <w:sz w:val="24"/>
          <w:szCs w:val="24"/>
        </w:rPr>
        <w:t xml:space="preserve"> переработал 200 актов в этой сфере. Мы рассчитываем, что после этого инвестиции наших предприятий будут идти действительно на обеспечение безопасности, а не на исполнение устаревших требований.</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Можно по-разному относиться к «регуляторной гильотине». Кто-то говорит: «Нет, реформа не очень глубокая, вы же всё-всё-всё не отменили». Кто-то предъявляет претензии, что, наоборот, в некоторых сферах корректировки стали избыточными. Однако мы искали баланс в рамках того отрезка времени, который у нас был. И надеемся, что теперь требования к бизнесу будут разумными, понятными и объяснимыми с точки зрения того, зачем мы это делаем.</w:t>
      </w: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756F39" w:rsidP="006929CB">
      <w:pPr>
        <w:pStyle w:val="a3"/>
        <w:ind w:firstLine="1134"/>
        <w:rPr>
          <w:rFonts w:ascii="Times New Roman" w:hAnsi="Times New Roman" w:cs="Times New Roman"/>
          <w:b/>
          <w:sz w:val="24"/>
          <w:szCs w:val="24"/>
        </w:rPr>
      </w:pPr>
      <w:r w:rsidRPr="00756F39">
        <w:rPr>
          <w:rFonts w:ascii="Times New Roman" w:hAnsi="Times New Roman" w:cs="Times New Roman"/>
          <w:b/>
          <w:sz w:val="24"/>
          <w:szCs w:val="24"/>
        </w:rPr>
        <w:t xml:space="preserve">Белый дом усиливает борьбу за исполнительскую дисциплину в госсекторе экономики </w:t>
      </w:r>
    </w:p>
    <w:p w:rsidR="006929CB" w:rsidRPr="00756F39" w:rsidRDefault="00625446" w:rsidP="006929CB">
      <w:pPr>
        <w:pStyle w:val="a3"/>
        <w:ind w:firstLine="1134"/>
        <w:rPr>
          <w:rFonts w:ascii="Times New Roman" w:hAnsi="Times New Roman" w:cs="Times New Roman"/>
          <w:sz w:val="24"/>
          <w:szCs w:val="24"/>
        </w:rPr>
      </w:pPr>
      <w:hyperlink r:id="rId5" w:history="1">
        <w:r w:rsidR="00756F39" w:rsidRPr="00616AF5">
          <w:rPr>
            <w:rStyle w:val="a5"/>
            <w:rFonts w:ascii="Times New Roman" w:hAnsi="Times New Roman" w:cs="Times New Roman"/>
            <w:sz w:val="24"/>
            <w:szCs w:val="24"/>
          </w:rPr>
          <w:t>https://www.kommersant.ru/doc/4639708</w:t>
        </w:r>
      </w:hyperlink>
      <w:r w:rsidR="00756F39">
        <w:rPr>
          <w:rFonts w:ascii="Times New Roman" w:hAnsi="Times New Roman" w:cs="Times New Roman"/>
          <w:sz w:val="24"/>
          <w:szCs w:val="24"/>
        </w:rPr>
        <w:t xml:space="preserve"> </w:t>
      </w:r>
    </w:p>
    <w:p w:rsid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lastRenderedPageBreak/>
        <w:t xml:space="preserve">Минюст подготовил изменения в КоАП, вводящие ответственность </w:t>
      </w:r>
      <w:proofErr w:type="spellStart"/>
      <w:r w:rsidRPr="00756F39">
        <w:rPr>
          <w:rFonts w:ascii="Times New Roman" w:hAnsi="Times New Roman" w:cs="Times New Roman"/>
          <w:sz w:val="24"/>
          <w:szCs w:val="24"/>
        </w:rPr>
        <w:t>госзаказчиков</w:t>
      </w:r>
      <w:proofErr w:type="spellEnd"/>
      <w:r w:rsidRPr="00756F39">
        <w:rPr>
          <w:rFonts w:ascii="Times New Roman" w:hAnsi="Times New Roman" w:cs="Times New Roman"/>
          <w:sz w:val="24"/>
          <w:szCs w:val="24"/>
        </w:rPr>
        <w:t xml:space="preserve"> за невыполнение требований об </w:t>
      </w:r>
      <w:proofErr w:type="spellStart"/>
      <w:r w:rsidRPr="00756F39">
        <w:rPr>
          <w:rFonts w:ascii="Times New Roman" w:hAnsi="Times New Roman" w:cs="Times New Roman"/>
          <w:sz w:val="24"/>
          <w:szCs w:val="24"/>
        </w:rPr>
        <w:t>импортозамещении</w:t>
      </w:r>
      <w:proofErr w:type="spellEnd"/>
      <w:r w:rsidRPr="00756F39">
        <w:rPr>
          <w:rFonts w:ascii="Times New Roman" w:hAnsi="Times New Roman" w:cs="Times New Roman"/>
          <w:sz w:val="24"/>
          <w:szCs w:val="24"/>
        </w:rPr>
        <w:t xml:space="preserve"> в </w:t>
      </w:r>
      <w:proofErr w:type="spellStart"/>
      <w:r w:rsidRPr="00756F39">
        <w:rPr>
          <w:rFonts w:ascii="Times New Roman" w:hAnsi="Times New Roman" w:cs="Times New Roman"/>
          <w:sz w:val="24"/>
          <w:szCs w:val="24"/>
        </w:rPr>
        <w:t>госзакупках</w:t>
      </w:r>
      <w:proofErr w:type="spellEnd"/>
      <w:r w:rsidRPr="00756F39">
        <w:rPr>
          <w:rFonts w:ascii="Times New Roman" w:hAnsi="Times New Roman" w:cs="Times New Roman"/>
          <w:sz w:val="24"/>
          <w:szCs w:val="24"/>
        </w:rPr>
        <w:t xml:space="preserve">. Напомним, в июле 2020 года Белый дом принял законы о квотировании закупок государства (ФЗ-44) и госкомпаний (ФЗ-223) у отечественных производителей в качестве меры поддержки экономики на фоне </w:t>
      </w:r>
      <w:proofErr w:type="spellStart"/>
      <w:r w:rsidRPr="00756F39">
        <w:rPr>
          <w:rFonts w:ascii="Times New Roman" w:hAnsi="Times New Roman" w:cs="Times New Roman"/>
          <w:sz w:val="24"/>
          <w:szCs w:val="24"/>
        </w:rPr>
        <w:t>коронакризиса</w:t>
      </w:r>
      <w:proofErr w:type="spellEnd"/>
      <w:r w:rsidRPr="00756F39">
        <w:rPr>
          <w:rFonts w:ascii="Times New Roman" w:hAnsi="Times New Roman" w:cs="Times New Roman"/>
          <w:sz w:val="24"/>
          <w:szCs w:val="24"/>
        </w:rPr>
        <w:t xml:space="preserve">, а в декабре утвердил перечни продукции, на которые с 2021 года эти требования распространятся. По проекту Минюста, невыполнение </w:t>
      </w:r>
      <w:proofErr w:type="spellStart"/>
      <w:r w:rsidRPr="00756F39">
        <w:rPr>
          <w:rFonts w:ascii="Times New Roman" w:hAnsi="Times New Roman" w:cs="Times New Roman"/>
          <w:sz w:val="24"/>
          <w:szCs w:val="24"/>
        </w:rPr>
        <w:t>госзаказчиком</w:t>
      </w:r>
      <w:proofErr w:type="spellEnd"/>
      <w:r w:rsidRPr="00756F39">
        <w:rPr>
          <w:rFonts w:ascii="Times New Roman" w:hAnsi="Times New Roman" w:cs="Times New Roman"/>
          <w:sz w:val="24"/>
          <w:szCs w:val="24"/>
        </w:rPr>
        <w:t xml:space="preserve"> квот повлечет предупреждение или штраф для должностного лица в размере от 20 тыс. до 50 тыс. руб. </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Вопросы возможности и целесообразности выполнения требований по закупкам российской продукции в проекте Минюста не детализированы — впрочем, ранее идеолог квотирования, курирующий промышленность вице-премьер Юрий Борисов указывал, что введенные нормы учитывают способности российских поставщиков обеспечить госзаказ. По данным Федерального казначейства, общая доля российских товаров в госзаказе составляет около 50%, но варьируется по отраслям. Рассматривать конкретные административные дела по невыполнению квот будет </w:t>
      </w:r>
      <w:proofErr w:type="spellStart"/>
      <w:r w:rsidRPr="00756F39">
        <w:rPr>
          <w:rFonts w:ascii="Times New Roman" w:hAnsi="Times New Roman" w:cs="Times New Roman"/>
          <w:sz w:val="24"/>
          <w:szCs w:val="24"/>
        </w:rPr>
        <w:t>Минпромторг</w:t>
      </w:r>
      <w:proofErr w:type="spellEnd"/>
      <w:r w:rsidRPr="00756F39">
        <w:rPr>
          <w:rFonts w:ascii="Times New Roman" w:hAnsi="Times New Roman" w:cs="Times New Roman"/>
          <w:sz w:val="24"/>
          <w:szCs w:val="24"/>
        </w:rPr>
        <w:t>, и если заказчики смогут обосновать невозможность выполнения квоты, то штрафовать их не будут.</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С 2022 года санкции будут предусмотрены только для закупок государства — к этому сроку </w:t>
      </w:r>
      <w:proofErr w:type="spellStart"/>
      <w:r w:rsidRPr="00756F39">
        <w:rPr>
          <w:rFonts w:ascii="Times New Roman" w:hAnsi="Times New Roman" w:cs="Times New Roman"/>
          <w:sz w:val="24"/>
          <w:szCs w:val="24"/>
        </w:rPr>
        <w:t>госзаказчики</w:t>
      </w:r>
      <w:proofErr w:type="spellEnd"/>
      <w:r w:rsidRPr="00756F39">
        <w:rPr>
          <w:rFonts w:ascii="Times New Roman" w:hAnsi="Times New Roman" w:cs="Times New Roman"/>
          <w:sz w:val="24"/>
          <w:szCs w:val="24"/>
        </w:rPr>
        <w:t xml:space="preserve"> подготовят отчеты об объемах закупок отечественной продукции по итогам 2021 года.</w:t>
      </w:r>
    </w:p>
    <w:p w:rsidR="00756F39" w:rsidRDefault="006929CB" w:rsidP="00756F39">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Отказ от введения ответственности для заказчиков по ФЗ-223, вероятно, связан с неурегулированным вопросом отчетности об </w:t>
      </w:r>
      <w:proofErr w:type="spellStart"/>
      <w:r w:rsidRPr="00756F39">
        <w:rPr>
          <w:rFonts w:ascii="Times New Roman" w:hAnsi="Times New Roman" w:cs="Times New Roman"/>
          <w:sz w:val="24"/>
          <w:szCs w:val="24"/>
        </w:rPr>
        <w:t>импортозамещении</w:t>
      </w:r>
      <w:proofErr w:type="spellEnd"/>
      <w:r w:rsidRPr="00756F39">
        <w:rPr>
          <w:rFonts w:ascii="Times New Roman" w:hAnsi="Times New Roman" w:cs="Times New Roman"/>
          <w:sz w:val="24"/>
          <w:szCs w:val="24"/>
        </w:rPr>
        <w:t xml:space="preserve">. Предполагается, что после устранения пробела в ФЗ-223 вопрос также будет решаться в рамках нормативного подхода. </w:t>
      </w:r>
    </w:p>
    <w:p w:rsidR="006929CB" w:rsidRPr="00756F39" w:rsidRDefault="00756F39" w:rsidP="00756F39">
      <w:pPr>
        <w:pStyle w:val="a3"/>
        <w:ind w:firstLine="1134"/>
        <w:rPr>
          <w:rFonts w:ascii="Times New Roman" w:hAnsi="Times New Roman" w:cs="Times New Roman"/>
          <w:sz w:val="24"/>
          <w:szCs w:val="24"/>
        </w:rPr>
      </w:pPr>
      <w:r>
        <w:rPr>
          <w:rFonts w:ascii="Times New Roman" w:hAnsi="Times New Roman" w:cs="Times New Roman"/>
          <w:sz w:val="24"/>
          <w:szCs w:val="24"/>
        </w:rPr>
        <w:t>Е</w:t>
      </w:r>
      <w:r w:rsidR="006929CB" w:rsidRPr="00756F39">
        <w:rPr>
          <w:rFonts w:ascii="Times New Roman" w:hAnsi="Times New Roman" w:cs="Times New Roman"/>
          <w:sz w:val="24"/>
          <w:szCs w:val="24"/>
        </w:rPr>
        <w:t xml:space="preserve">ще одна предновогодняя инициатива правительства предполагает сокращение числа KPI и сохранение наиболее принципиальных требований к </w:t>
      </w:r>
      <w:proofErr w:type="spellStart"/>
      <w:r w:rsidR="006929CB" w:rsidRPr="00756F39">
        <w:rPr>
          <w:rFonts w:ascii="Times New Roman" w:hAnsi="Times New Roman" w:cs="Times New Roman"/>
          <w:sz w:val="24"/>
          <w:szCs w:val="24"/>
        </w:rPr>
        <w:t>госАО</w:t>
      </w:r>
      <w:proofErr w:type="spellEnd"/>
      <w:r w:rsidR="006929CB" w:rsidRPr="00756F39">
        <w:rPr>
          <w:rFonts w:ascii="Times New Roman" w:hAnsi="Times New Roman" w:cs="Times New Roman"/>
          <w:sz w:val="24"/>
          <w:szCs w:val="24"/>
        </w:rPr>
        <w:t xml:space="preserve"> для ужесточения контроля над их выполнением. Распоряжением от 28 декабря 2020 года №3579-р премьер Михаил </w:t>
      </w:r>
      <w:proofErr w:type="spellStart"/>
      <w:r w:rsidR="006929CB" w:rsidRPr="00756F39">
        <w:rPr>
          <w:rFonts w:ascii="Times New Roman" w:hAnsi="Times New Roman" w:cs="Times New Roman"/>
          <w:sz w:val="24"/>
          <w:szCs w:val="24"/>
        </w:rPr>
        <w:t>Мишустин</w:t>
      </w:r>
      <w:proofErr w:type="spellEnd"/>
      <w:r w:rsidR="006929CB" w:rsidRPr="00756F39">
        <w:rPr>
          <w:rFonts w:ascii="Times New Roman" w:hAnsi="Times New Roman" w:cs="Times New Roman"/>
          <w:sz w:val="24"/>
          <w:szCs w:val="24"/>
        </w:rPr>
        <w:t xml:space="preserve"> утвердил новые методические рекомендации по расчету ключевых показателей эффективности (КПЭ) госкомпаний и институтов развития и рекомендации распространить их на дочерние общества с полным участием государства под прямым или косвенным контролем. Предполагается, что от эффективности работы госкомпаний и институтов развития будет зависеть уровень вознаграждения топ-менеджеров. Ранее в Минфине указывали, что из-за чрезмерного количества КПЭ показатели в отдельности не имеют достаточного веса для стимулирования менеджмента </w:t>
      </w:r>
      <w:proofErr w:type="spellStart"/>
      <w:r w:rsidR="006929CB" w:rsidRPr="00756F39">
        <w:rPr>
          <w:rFonts w:ascii="Times New Roman" w:hAnsi="Times New Roman" w:cs="Times New Roman"/>
          <w:sz w:val="24"/>
          <w:szCs w:val="24"/>
        </w:rPr>
        <w:t>госактивов</w:t>
      </w:r>
      <w:proofErr w:type="spellEnd"/>
      <w:r w:rsidR="006929CB" w:rsidRPr="00756F39">
        <w:rPr>
          <w:rFonts w:ascii="Times New Roman" w:hAnsi="Times New Roman" w:cs="Times New Roman"/>
          <w:sz w:val="24"/>
          <w:szCs w:val="24"/>
        </w:rPr>
        <w:t xml:space="preserve"> к эффективной хозяйственной деятельности.</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Максимальное количество показателей с 2021 года не будет превышать десяти, при этом часть из них должна характеризовать прибыльность организации (финансовые), другая же — увязана с национальными целями развития (отраслевые).</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К первой группе рекомендуется отнести рентабельность инвестированного или собственного капитала, динамику выручки, показатель долговой нагрузки, доход акционеров, ко второй — количество созданных рабочих мест, объем привлеченных инвестиций, вклад в </w:t>
      </w:r>
      <w:proofErr w:type="spellStart"/>
      <w:r w:rsidRPr="00756F39">
        <w:rPr>
          <w:rFonts w:ascii="Times New Roman" w:hAnsi="Times New Roman" w:cs="Times New Roman"/>
          <w:sz w:val="24"/>
          <w:szCs w:val="24"/>
        </w:rPr>
        <w:t>несырьевой</w:t>
      </w:r>
      <w:proofErr w:type="spellEnd"/>
      <w:r w:rsidRPr="00756F39">
        <w:rPr>
          <w:rFonts w:ascii="Times New Roman" w:hAnsi="Times New Roman" w:cs="Times New Roman"/>
          <w:sz w:val="24"/>
          <w:szCs w:val="24"/>
        </w:rPr>
        <w:t xml:space="preserve"> неэнергетический экспорт и бюджетную эффективность. В состав отраслевых показателей могут войти и региональные показатели для достижения «общественно значимых результатов» — при этом глава правительства и вице-премьеры смогут устанавливать и специализированные КПЭ.</w:t>
      </w:r>
    </w:p>
    <w:p w:rsidR="006929CB"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Набор показателей будет зависеть от специфики деятельности компаний (всего четыре категории): действующие на конкурентном рынке </w:t>
      </w:r>
      <w:proofErr w:type="spellStart"/>
      <w:r w:rsidRPr="00756F39">
        <w:rPr>
          <w:rFonts w:ascii="Times New Roman" w:hAnsi="Times New Roman" w:cs="Times New Roman"/>
          <w:sz w:val="24"/>
          <w:szCs w:val="24"/>
        </w:rPr>
        <w:t>госАО</w:t>
      </w:r>
      <w:proofErr w:type="spellEnd"/>
      <w:r w:rsidRPr="00756F39">
        <w:rPr>
          <w:rFonts w:ascii="Times New Roman" w:hAnsi="Times New Roman" w:cs="Times New Roman"/>
          <w:sz w:val="24"/>
          <w:szCs w:val="24"/>
        </w:rPr>
        <w:t xml:space="preserve"> («</w:t>
      </w:r>
      <w:proofErr w:type="spellStart"/>
      <w:r w:rsidRPr="00756F39">
        <w:rPr>
          <w:rFonts w:ascii="Times New Roman" w:hAnsi="Times New Roman" w:cs="Times New Roman"/>
          <w:sz w:val="24"/>
          <w:szCs w:val="24"/>
        </w:rPr>
        <w:t>Роснефтегаз</w:t>
      </w:r>
      <w:proofErr w:type="spellEnd"/>
      <w:r w:rsidRPr="00756F39">
        <w:rPr>
          <w:rFonts w:ascii="Times New Roman" w:hAnsi="Times New Roman" w:cs="Times New Roman"/>
          <w:sz w:val="24"/>
          <w:szCs w:val="24"/>
        </w:rPr>
        <w:t xml:space="preserve">», ГЛОНАСС и др.), </w:t>
      </w:r>
      <w:proofErr w:type="spellStart"/>
      <w:r w:rsidRPr="00756F39">
        <w:rPr>
          <w:rFonts w:ascii="Times New Roman" w:hAnsi="Times New Roman" w:cs="Times New Roman"/>
          <w:sz w:val="24"/>
          <w:szCs w:val="24"/>
        </w:rPr>
        <w:t>госмонополии</w:t>
      </w:r>
      <w:proofErr w:type="spellEnd"/>
      <w:r w:rsidRPr="00756F39">
        <w:rPr>
          <w:rFonts w:ascii="Times New Roman" w:hAnsi="Times New Roman" w:cs="Times New Roman"/>
          <w:sz w:val="24"/>
          <w:szCs w:val="24"/>
        </w:rPr>
        <w:t xml:space="preserve"> и инфраструктурные компании («</w:t>
      </w:r>
      <w:proofErr w:type="spellStart"/>
      <w:r w:rsidRPr="00756F39">
        <w:rPr>
          <w:rFonts w:ascii="Times New Roman" w:hAnsi="Times New Roman" w:cs="Times New Roman"/>
          <w:sz w:val="24"/>
          <w:szCs w:val="24"/>
        </w:rPr>
        <w:t>Транснефть</w:t>
      </w:r>
      <w:proofErr w:type="spellEnd"/>
      <w:r w:rsidRPr="00756F39">
        <w:rPr>
          <w:rFonts w:ascii="Times New Roman" w:hAnsi="Times New Roman" w:cs="Times New Roman"/>
          <w:sz w:val="24"/>
          <w:szCs w:val="24"/>
        </w:rPr>
        <w:t>», «Почта России» и др.), финансовые организации («ВЭБ-лизинг», «</w:t>
      </w:r>
      <w:proofErr w:type="spellStart"/>
      <w:r w:rsidRPr="00756F39">
        <w:rPr>
          <w:rFonts w:ascii="Times New Roman" w:hAnsi="Times New Roman" w:cs="Times New Roman"/>
          <w:sz w:val="24"/>
          <w:szCs w:val="24"/>
        </w:rPr>
        <w:t>Росагролизинг</w:t>
      </w:r>
      <w:proofErr w:type="spellEnd"/>
      <w:r w:rsidRPr="00756F39">
        <w:rPr>
          <w:rFonts w:ascii="Times New Roman" w:hAnsi="Times New Roman" w:cs="Times New Roman"/>
          <w:sz w:val="24"/>
          <w:szCs w:val="24"/>
        </w:rPr>
        <w:t>» и др.) и институты развития (ДОМ.РФ, РЭЦ, «</w:t>
      </w:r>
      <w:proofErr w:type="spellStart"/>
      <w:r w:rsidRPr="00756F39">
        <w:rPr>
          <w:rFonts w:ascii="Times New Roman" w:hAnsi="Times New Roman" w:cs="Times New Roman"/>
          <w:sz w:val="24"/>
          <w:szCs w:val="24"/>
        </w:rPr>
        <w:t>Роснано</w:t>
      </w:r>
      <w:proofErr w:type="spellEnd"/>
      <w:r w:rsidRPr="00756F39">
        <w:rPr>
          <w:rFonts w:ascii="Times New Roman" w:hAnsi="Times New Roman" w:cs="Times New Roman"/>
          <w:sz w:val="24"/>
          <w:szCs w:val="24"/>
        </w:rPr>
        <w:t>» и др.). В целом методические рекомендации распространятся на 57 компаний.</w:t>
      </w:r>
    </w:p>
    <w:p w:rsidR="00756F39" w:rsidRPr="00756F39" w:rsidRDefault="00756F39" w:rsidP="006929CB">
      <w:pPr>
        <w:pStyle w:val="a3"/>
        <w:ind w:firstLine="1134"/>
        <w:rPr>
          <w:rFonts w:ascii="Times New Roman" w:hAnsi="Times New Roman" w:cs="Times New Roman"/>
          <w:sz w:val="24"/>
          <w:szCs w:val="24"/>
        </w:rPr>
      </w:pPr>
    </w:p>
    <w:sectPr w:rsidR="00756F39" w:rsidRPr="00756F39" w:rsidSect="00112681">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37"/>
    <w:rsid w:val="00625446"/>
    <w:rsid w:val="006929CB"/>
    <w:rsid w:val="00756F39"/>
    <w:rsid w:val="00A4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0526A-0637-4A72-97AB-D417612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2681"/>
    <w:pPr>
      <w:spacing w:after="0" w:line="240" w:lineRule="auto"/>
    </w:pPr>
    <w:rPr>
      <w:rFonts w:ascii="Consolas" w:hAnsi="Consolas"/>
      <w:sz w:val="21"/>
      <w:szCs w:val="21"/>
    </w:rPr>
  </w:style>
  <w:style w:type="character" w:customStyle="1" w:styleId="a4">
    <w:name w:val="Текст Знак"/>
    <w:basedOn w:val="a0"/>
    <w:link w:val="a3"/>
    <w:uiPriority w:val="99"/>
    <w:rsid w:val="00112681"/>
    <w:rPr>
      <w:rFonts w:ascii="Consolas" w:hAnsi="Consolas"/>
      <w:sz w:val="21"/>
      <w:szCs w:val="21"/>
    </w:rPr>
  </w:style>
  <w:style w:type="character" w:styleId="a5">
    <w:name w:val="Hyperlink"/>
    <w:basedOn w:val="a0"/>
    <w:uiPriority w:val="99"/>
    <w:unhideWhenUsed/>
    <w:rsid w:val="0075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mmersant.ru/doc/4639708" TargetMode="External"/><Relationship Id="rId4" Type="http://schemas.openxmlformats.org/officeDocument/2006/relationships/hyperlink" Target="https://iz.ru/1105371/ekaterina-vinogradova/chislo-proverok-biznesa-vyrastet-v-2021-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2021-07-12T04:08:00Z</dcterms:created>
  <dcterms:modified xsi:type="dcterms:W3CDTF">2021-07-12T04:08:00Z</dcterms:modified>
</cp:coreProperties>
</file>