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rPr>
          <w:rFonts w:ascii="PF Din Text Cond Pro Light" w:hAnsi="PF Din Text Cond Pro Light" w:cs="Arial"/>
          <w:b/>
          <w:color w:val="0070C0"/>
          <w:sz w:val="44"/>
          <w:szCs w:val="44"/>
        </w:rPr>
      </w:pPr>
      <w:r w:rsidRPr="00522947">
        <w:rPr>
          <w:rFonts w:ascii="PF Din Text Cond Pro Light" w:hAnsi="PF Din Text Cond Pro Light" w:cs="Arial"/>
          <w:b/>
          <w:color w:val="0070C0"/>
          <w:sz w:val="44"/>
          <w:szCs w:val="44"/>
        </w:rPr>
        <w:t>Порядок предоставления расчетов по страховым взносам.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Форма расчета по страховым взносам утверждена</w:t>
      </w:r>
      <w:r w:rsidRPr="00522947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8" w:tgtFrame="_blank" w:history="1">
        <w:r w:rsidRPr="00522947">
          <w:rPr>
            <w:rStyle w:val="a3"/>
            <w:rFonts w:ascii="PF Din Text Cond Pro Light" w:hAnsi="PF Din Text Cond Pro Light" w:cs="Arial"/>
            <w:b/>
            <w:color w:val="auto"/>
            <w:sz w:val="26"/>
            <w:szCs w:val="26"/>
          </w:rPr>
          <w:t>приказом ФНС России от 10.10.2016 №</w:t>
        </w:r>
        <w:r w:rsidRPr="00522947">
          <w:rPr>
            <w:rStyle w:val="a3"/>
            <w:rFonts w:ascii="Arial" w:hAnsi="Arial" w:cs="Arial"/>
            <w:b/>
            <w:color w:val="auto"/>
            <w:sz w:val="26"/>
            <w:szCs w:val="26"/>
          </w:rPr>
          <w:t> </w:t>
        </w:r>
        <w:r w:rsidRPr="00522947">
          <w:rPr>
            <w:rStyle w:val="a3"/>
            <w:rFonts w:ascii="PF Din Text Cond Pro Light" w:hAnsi="PF Din Text Cond Pro Light" w:cs="Arial"/>
            <w:b/>
            <w:color w:val="auto"/>
            <w:sz w:val="26"/>
            <w:szCs w:val="26"/>
          </w:rPr>
          <w:t>ММВ-7-11/551@</w:t>
        </w:r>
      </w:hyperlink>
      <w:r w:rsidRPr="00522947">
        <w:rPr>
          <w:rStyle w:val="apple-converted-space"/>
          <w:rFonts w:ascii="Arial" w:hAnsi="Arial" w:cs="Arial"/>
          <w:b/>
          <w:sz w:val="26"/>
          <w:szCs w:val="26"/>
        </w:rPr>
        <w:t> </w:t>
      </w:r>
      <w:r w:rsidRPr="00522947">
        <w:rPr>
          <w:rFonts w:ascii="PF Din Text Cond Pro Light" w:hAnsi="PF Din Text Cond Pro Light" w:cs="Arial"/>
          <w:sz w:val="26"/>
          <w:szCs w:val="26"/>
        </w:rPr>
        <w:t>(Зарегистрировано в Минюсте России 26</w:t>
      </w: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.10.2016 № 44141).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proofErr w:type="gramStart"/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 xml:space="preserve">Плательщики, производящие выплаты в пользу физических лиц, представляют расчет по страховым взносам ежеквартально не позднее 30-го числа месяца, следующего за расчетным (отчетным) периодом, в налоговый орган </w:t>
      </w:r>
      <w:r w:rsidRPr="00522947">
        <w:rPr>
          <w:rFonts w:ascii="PF Din Text Cond Pro Light" w:hAnsi="PF Din Text Cond Pro Light" w:cs="Arial"/>
          <w:b/>
          <w:color w:val="000000"/>
          <w:sz w:val="26"/>
          <w:szCs w:val="26"/>
        </w:rPr>
        <w:t xml:space="preserve">по месту нахождения организации и по месту нахождения обособленных подразделений организаций, </w:t>
      </w: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 xml:space="preserve">которые начисляют выплаты и иные вознаграждения в пользу физических лиц, </w:t>
      </w:r>
      <w:r w:rsidRPr="00522947">
        <w:rPr>
          <w:rFonts w:ascii="PF Din Text Cond Pro Light" w:hAnsi="PF Din Text Cond Pro Light" w:cs="Arial"/>
          <w:b/>
          <w:color w:val="000000"/>
          <w:sz w:val="26"/>
          <w:szCs w:val="26"/>
        </w:rPr>
        <w:t>по месту жительства физического лица</w:t>
      </w: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, производящего выплаты и иные вознаграждения физическим лицам.</w:t>
      </w:r>
      <w:proofErr w:type="gramEnd"/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Главы крестьянских (фермерских) хозяй</w:t>
      </w:r>
      <w:proofErr w:type="gramStart"/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ств пр</w:t>
      </w:r>
      <w:proofErr w:type="gramEnd"/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едставляют в налоговый орган по месту учета расчет по страховым взносам ежегодно до 30 января календарного года, следующего за истекшим расчетным периодом (впервые расчет по страховым взносам должен быть представлен в срок до 30 января 2018 года).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b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b/>
          <w:color w:val="000000"/>
          <w:sz w:val="26"/>
          <w:szCs w:val="26"/>
        </w:rPr>
        <w:t>Расчет по страховым взносам состоит из титульного листа и трех разделов с приложениями.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b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b/>
          <w:color w:val="000000"/>
          <w:sz w:val="26"/>
          <w:szCs w:val="26"/>
        </w:rPr>
        <w:t>Разделы 1 и 3 заполняются плательщиками страховых взносов, которые производят выплаты физическим лицам.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b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b/>
          <w:color w:val="000000"/>
          <w:sz w:val="26"/>
          <w:szCs w:val="26"/>
        </w:rPr>
        <w:t>Раздел 2 заполняется плательщиками страховых взносов – главами КФХ.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Плательщики и вновь созданные организации (в том числе при реорганизации), у которых среднесписочная численность физических лиц, в пользу которых производятся выплаты, превышает 25 человек, представляют расчеты по страховым взносам в электронной форме по ТКС.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Если среднесписочная численность физических лиц, в пользу которых производятся выплаты, 25 и менее человек, то расчет по страховым взносам может быть представлен как в бумажном, так и в электронном виде.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proofErr w:type="gramStart"/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 xml:space="preserve">ФНС России сообщает, что в случае, если в представляемом расчете по страховым взносам сведения о совокупной сумме страховых взносов на обязательное пенсионное страхование не соответствуют сведениям об исчисленных взносах по каждому застрахованному лицу и (или) налоговым органом выявлены недостоверные персональные данные, идентифицирующие застрахованных физических лиц, такой расчет будет считаться </w:t>
      </w:r>
      <w:proofErr w:type="spellStart"/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непредставленным</w:t>
      </w:r>
      <w:proofErr w:type="spellEnd"/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, о чем плательщику будет направлено соответствующее уведомление.</w:t>
      </w:r>
      <w:proofErr w:type="gramEnd"/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Для устранения плательщиком выявленных в расчете по страховым взносам несоответствий законодателем отведен пятидневный срок (для плательщиков, отчитывающихся в электронной форме) и десятидневный срок (если плательщик представляет отчетность на бумаге).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В случае</w:t>
      </w:r>
      <w:proofErr w:type="gramStart"/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,</w:t>
      </w:r>
      <w:proofErr w:type="gramEnd"/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 xml:space="preserve"> если указанный срок будет соблюден, датой представления указанного расчета будет считаться дата первоначального расчета.</w:t>
      </w:r>
    </w:p>
    <w:p w:rsidR="00706302" w:rsidRPr="00522947" w:rsidRDefault="00706302" w:rsidP="00706302">
      <w:pPr>
        <w:pStyle w:val="aa"/>
        <w:shd w:val="clear" w:color="auto" w:fill="FFFFFF"/>
        <w:spacing w:before="130" w:beforeAutospacing="0" w:after="130" w:afterAutospacing="0" w:line="210" w:lineRule="atLeast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522947">
        <w:rPr>
          <w:rFonts w:ascii="PF Din Text Cond Pro Light" w:hAnsi="PF Din Text Cond Pro Light" w:cs="Arial"/>
          <w:color w:val="000000"/>
          <w:sz w:val="26"/>
          <w:szCs w:val="26"/>
        </w:rPr>
        <w:t>Следует отметить, что у плательщиков, не производящих выплаты и иные вознаграждения физическим лицам (индивидуальных предпринимателей, адвокатов, медиаторов, нотариусов и иных занимающихся частной практикой лиц), за исключением глав КВХ, обязанности по заполнению и представлению расчета по страховым взносам не имеется.</w:t>
      </w:r>
    </w:p>
    <w:p w:rsidR="004A6D0E" w:rsidRPr="00706302" w:rsidRDefault="00E95311" w:rsidP="00706302">
      <w:pPr>
        <w:ind w:left="-360" w:right="-1" w:firstLine="708"/>
        <w:jc w:val="both"/>
        <w:rPr>
          <w:szCs w:val="32"/>
        </w:rPr>
      </w:pPr>
      <w:r w:rsidRPr="00E95311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аховые взносы пример 9стр" style="width:24pt;height:24pt"/>
        </w:pict>
      </w:r>
      <w:r w:rsidR="00706302" w:rsidRPr="00522947"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</w:p>
    <w:sectPr w:rsidR="004A6D0E" w:rsidRPr="00706302" w:rsidSect="0054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0E" w:rsidRDefault="004A6D0E">
      <w:r>
        <w:separator/>
      </w:r>
    </w:p>
  </w:endnote>
  <w:endnote w:type="continuationSeparator" w:id="0">
    <w:p w:rsidR="004A6D0E" w:rsidRDefault="004A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0E" w:rsidRDefault="004A6D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0E" w:rsidRDefault="004A6D0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0E" w:rsidRDefault="004A6D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0E" w:rsidRDefault="004A6D0E">
      <w:r>
        <w:separator/>
      </w:r>
    </w:p>
  </w:footnote>
  <w:footnote w:type="continuationSeparator" w:id="0">
    <w:p w:rsidR="004A6D0E" w:rsidRDefault="004A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0E" w:rsidRDefault="004A6D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0E" w:rsidRDefault="004A6D0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0E" w:rsidRDefault="004A6D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6450DCA"/>
    <w:multiLevelType w:val="hybridMultilevel"/>
    <w:tmpl w:val="51A82730"/>
    <w:lvl w:ilvl="0" w:tplc="B96C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CB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4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4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4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2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A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95855"/>
    <w:multiLevelType w:val="hybridMultilevel"/>
    <w:tmpl w:val="88B03F3C"/>
    <w:lvl w:ilvl="0" w:tplc="74C8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26F4A404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CE3C87E0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7406B9E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0683E0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94561DB8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8DA0A80C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3FE251F0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B46C416C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15060E1"/>
    <w:multiLevelType w:val="hybridMultilevel"/>
    <w:tmpl w:val="A100F9E2"/>
    <w:lvl w:ilvl="0" w:tplc="03F6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07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8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CE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66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80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24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C2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E91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8DE2783"/>
    <w:multiLevelType w:val="hybridMultilevel"/>
    <w:tmpl w:val="2C0E7960"/>
    <w:lvl w:ilvl="0" w:tplc="FB5ECC9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0"/>
  </w:num>
  <w:num w:numId="5">
    <w:abstractNumId w:val="21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6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27"/>
  </w:num>
  <w:num w:numId="27">
    <w:abstractNumId w:val="5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547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54D3"/>
    <w:rsid w:val="00006611"/>
    <w:rsid w:val="00010F23"/>
    <w:rsid w:val="0001481E"/>
    <w:rsid w:val="00025677"/>
    <w:rsid w:val="00026B04"/>
    <w:rsid w:val="000343D3"/>
    <w:rsid w:val="00045EB6"/>
    <w:rsid w:val="000527D9"/>
    <w:rsid w:val="00054494"/>
    <w:rsid w:val="00062433"/>
    <w:rsid w:val="000839CF"/>
    <w:rsid w:val="000876F7"/>
    <w:rsid w:val="00094FC4"/>
    <w:rsid w:val="000A2B23"/>
    <w:rsid w:val="000C087A"/>
    <w:rsid w:val="000D1AF2"/>
    <w:rsid w:val="000F6FA7"/>
    <w:rsid w:val="00104086"/>
    <w:rsid w:val="0010766C"/>
    <w:rsid w:val="00134EFF"/>
    <w:rsid w:val="00137B4C"/>
    <w:rsid w:val="00166616"/>
    <w:rsid w:val="001A7FE2"/>
    <w:rsid w:val="001B39B1"/>
    <w:rsid w:val="00204284"/>
    <w:rsid w:val="00206ED2"/>
    <w:rsid w:val="00210185"/>
    <w:rsid w:val="00215218"/>
    <w:rsid w:val="00240988"/>
    <w:rsid w:val="00262160"/>
    <w:rsid w:val="0026330C"/>
    <w:rsid w:val="00272ACA"/>
    <w:rsid w:val="00294F75"/>
    <w:rsid w:val="002B0566"/>
    <w:rsid w:val="002B30C6"/>
    <w:rsid w:val="002F13D8"/>
    <w:rsid w:val="00302E73"/>
    <w:rsid w:val="00314FF4"/>
    <w:rsid w:val="003239D1"/>
    <w:rsid w:val="0033320B"/>
    <w:rsid w:val="00336279"/>
    <w:rsid w:val="0035083B"/>
    <w:rsid w:val="0035366F"/>
    <w:rsid w:val="003642A3"/>
    <w:rsid w:val="00371906"/>
    <w:rsid w:val="00376286"/>
    <w:rsid w:val="00381C1E"/>
    <w:rsid w:val="00390C75"/>
    <w:rsid w:val="003923A8"/>
    <w:rsid w:val="003B1038"/>
    <w:rsid w:val="003C4453"/>
    <w:rsid w:val="003D17D5"/>
    <w:rsid w:val="003D30EA"/>
    <w:rsid w:val="003D389B"/>
    <w:rsid w:val="004002A7"/>
    <w:rsid w:val="00407A4E"/>
    <w:rsid w:val="004140B8"/>
    <w:rsid w:val="00443AD2"/>
    <w:rsid w:val="00446F3E"/>
    <w:rsid w:val="004509D5"/>
    <w:rsid w:val="00451008"/>
    <w:rsid w:val="0048497D"/>
    <w:rsid w:val="004A6D0E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41F73"/>
    <w:rsid w:val="00680E2B"/>
    <w:rsid w:val="006911D9"/>
    <w:rsid w:val="00695BC3"/>
    <w:rsid w:val="00695DBA"/>
    <w:rsid w:val="006A7EB9"/>
    <w:rsid w:val="006B04E7"/>
    <w:rsid w:val="006B1CA2"/>
    <w:rsid w:val="006C06C4"/>
    <w:rsid w:val="006C106A"/>
    <w:rsid w:val="006C5E4C"/>
    <w:rsid w:val="006D4A40"/>
    <w:rsid w:val="00702F2B"/>
    <w:rsid w:val="00706302"/>
    <w:rsid w:val="00712734"/>
    <w:rsid w:val="00720F45"/>
    <w:rsid w:val="0073019F"/>
    <w:rsid w:val="00732320"/>
    <w:rsid w:val="007766C8"/>
    <w:rsid w:val="0077712D"/>
    <w:rsid w:val="00787AB9"/>
    <w:rsid w:val="0079212D"/>
    <w:rsid w:val="007A54FD"/>
    <w:rsid w:val="007A5518"/>
    <w:rsid w:val="007A5DA1"/>
    <w:rsid w:val="007B6C38"/>
    <w:rsid w:val="007C0887"/>
    <w:rsid w:val="007C2765"/>
    <w:rsid w:val="007C46A6"/>
    <w:rsid w:val="007E3622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76C28"/>
    <w:rsid w:val="00982C73"/>
    <w:rsid w:val="009B6728"/>
    <w:rsid w:val="009C4BAA"/>
    <w:rsid w:val="009D42F9"/>
    <w:rsid w:val="00A067CB"/>
    <w:rsid w:val="00A32512"/>
    <w:rsid w:val="00A4171E"/>
    <w:rsid w:val="00A53558"/>
    <w:rsid w:val="00A629D0"/>
    <w:rsid w:val="00A7261B"/>
    <w:rsid w:val="00A7767B"/>
    <w:rsid w:val="00A931A0"/>
    <w:rsid w:val="00AA49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A7096"/>
    <w:rsid w:val="00BB3435"/>
    <w:rsid w:val="00BB795F"/>
    <w:rsid w:val="00BC02EF"/>
    <w:rsid w:val="00BD3210"/>
    <w:rsid w:val="00BE04C1"/>
    <w:rsid w:val="00BF67B4"/>
    <w:rsid w:val="00C05F6C"/>
    <w:rsid w:val="00C223D1"/>
    <w:rsid w:val="00C35047"/>
    <w:rsid w:val="00C4123A"/>
    <w:rsid w:val="00C41BBF"/>
    <w:rsid w:val="00C45A51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3555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04C04"/>
    <w:rsid w:val="00E117C4"/>
    <w:rsid w:val="00E21CB9"/>
    <w:rsid w:val="00E44F39"/>
    <w:rsid w:val="00E5220F"/>
    <w:rsid w:val="00E66003"/>
    <w:rsid w:val="00E91837"/>
    <w:rsid w:val="00E95311"/>
    <w:rsid w:val="00EB51F4"/>
    <w:rsid w:val="00EC6234"/>
    <w:rsid w:val="00EF1CF0"/>
    <w:rsid w:val="00EF5265"/>
    <w:rsid w:val="00EF7641"/>
    <w:rsid w:val="00F0430E"/>
    <w:rsid w:val="00F231AA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627025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BB45F-8282-4FBD-AECF-F43CA656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2016-11-15T04:15:00Z</cp:lastPrinted>
  <dcterms:created xsi:type="dcterms:W3CDTF">2017-02-22T06:02:00Z</dcterms:created>
  <dcterms:modified xsi:type="dcterms:W3CDTF">2017-02-28T13:04:00Z</dcterms:modified>
</cp:coreProperties>
</file>