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66" w:rsidRDefault="008A75E2" w:rsidP="008A75E2">
      <w:pPr>
        <w:pStyle w:val="1"/>
        <w:spacing w:before="0" w:after="0"/>
        <w:jc w:val="center"/>
        <w:rPr>
          <w:rFonts w:ascii="PF Din Text Comp Pro Light" w:hAnsi="PF Din Text Comp Pro Light"/>
          <w:b w:val="0"/>
          <w:sz w:val="56"/>
          <w:szCs w:val="56"/>
        </w:rPr>
      </w:pPr>
      <w:r>
        <w:rPr>
          <w:rFonts w:ascii="PF Din Text Comp Pro Light" w:hAnsi="PF Din Text Comp Pro Light"/>
          <w:b w:val="0"/>
          <w:sz w:val="56"/>
          <w:szCs w:val="56"/>
        </w:rPr>
        <w:t xml:space="preserve">     </w:t>
      </w:r>
      <w:r w:rsidR="00D81367" w:rsidRPr="00D82949">
        <w:rPr>
          <w:rFonts w:ascii="PF Din Text Comp Pro Light" w:hAnsi="PF Din Text Comp Pro Light"/>
          <w:b w:val="0"/>
          <w:sz w:val="56"/>
          <w:szCs w:val="56"/>
        </w:rPr>
        <w:t>Налог на имущество</w:t>
      </w:r>
      <w:r w:rsidR="002B7DC3" w:rsidRPr="00D82949">
        <w:rPr>
          <w:rFonts w:ascii="PF Din Text Comp Pro Light" w:hAnsi="PF Din Text Comp Pro Light"/>
          <w:b w:val="0"/>
          <w:sz w:val="56"/>
          <w:szCs w:val="56"/>
        </w:rPr>
        <w:t xml:space="preserve"> за 2016 год</w:t>
      </w:r>
      <w:r w:rsidR="00D81367" w:rsidRPr="00D82949">
        <w:rPr>
          <w:rFonts w:ascii="PF Din Text Comp Pro Light" w:hAnsi="PF Din Text Comp Pro Light"/>
          <w:b w:val="0"/>
          <w:sz w:val="56"/>
          <w:szCs w:val="56"/>
        </w:rPr>
        <w:t xml:space="preserve"> </w:t>
      </w:r>
    </w:p>
    <w:p w:rsidR="00DF6674" w:rsidRPr="00D82949" w:rsidRDefault="002B7DC3" w:rsidP="00A73966">
      <w:pPr>
        <w:pStyle w:val="1"/>
        <w:spacing w:before="0" w:after="0"/>
        <w:jc w:val="center"/>
        <w:rPr>
          <w:rFonts w:ascii="PF Din Text Comp Pro Light" w:hAnsi="PF Din Text Comp Pro Light"/>
          <w:b w:val="0"/>
          <w:sz w:val="56"/>
          <w:szCs w:val="56"/>
        </w:rPr>
      </w:pPr>
      <w:r w:rsidRPr="00D82949">
        <w:rPr>
          <w:rFonts w:ascii="PF Din Text Comp Pro Light" w:hAnsi="PF Din Text Comp Pro Light"/>
          <w:b w:val="0"/>
          <w:sz w:val="56"/>
          <w:szCs w:val="56"/>
        </w:rPr>
        <w:t xml:space="preserve">платим по новому!!! </w:t>
      </w:r>
    </w:p>
    <w:p w:rsidR="0042238C" w:rsidRPr="00D82949" w:rsidRDefault="0042238C" w:rsidP="008A75E2">
      <w:pPr>
        <w:autoSpaceDE w:val="0"/>
        <w:autoSpaceDN w:val="0"/>
        <w:adjustRightInd w:val="0"/>
        <w:ind w:left="540"/>
        <w:jc w:val="both"/>
        <w:rPr>
          <w:rFonts w:ascii="PF Din Text Comp Pro Light" w:eastAsia="Calibri" w:hAnsi="PF Din Text Comp Pro Light" w:cs="Arial"/>
          <w:sz w:val="20"/>
          <w:szCs w:val="20"/>
        </w:rPr>
      </w:pPr>
    </w:p>
    <w:p w:rsidR="002B7DC3" w:rsidRPr="008A75E2" w:rsidRDefault="002B7DC3" w:rsidP="002B7DC3">
      <w:pPr>
        <w:ind w:firstLine="709"/>
        <w:jc w:val="both"/>
        <w:rPr>
          <w:rFonts w:ascii="PF Din Text Comp Pro Light" w:hAnsi="PF Din Text Comp Pro Light"/>
          <w:color w:val="333333"/>
          <w:sz w:val="30"/>
          <w:szCs w:val="30"/>
        </w:rPr>
      </w:pPr>
      <w:proofErr w:type="gramStart"/>
      <w:r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Налог на имущество должны платить физические лица, у которых в собственности: жилой дом; жилое помещение (квартира, комната); гараж, </w:t>
      </w:r>
      <w:proofErr w:type="spellStart"/>
      <w:r w:rsidRPr="008A75E2">
        <w:rPr>
          <w:rFonts w:ascii="PF Din Text Comp Pro Light" w:hAnsi="PF Din Text Comp Pro Light"/>
          <w:color w:val="333333"/>
          <w:sz w:val="30"/>
          <w:szCs w:val="30"/>
        </w:rPr>
        <w:t>машино-место</w:t>
      </w:r>
      <w:proofErr w:type="spellEnd"/>
      <w:r w:rsidRPr="008A75E2">
        <w:rPr>
          <w:rFonts w:ascii="PF Din Text Comp Pro Light" w:hAnsi="PF Din Text Comp Pro Light"/>
          <w:color w:val="333333"/>
          <w:sz w:val="30"/>
          <w:szCs w:val="30"/>
        </w:rPr>
        <w:t>; единый недвижимый комплекс; объект незавершенного строительства; иные здания, строени</w:t>
      </w:r>
      <w:r w:rsidR="00A5590A">
        <w:rPr>
          <w:rFonts w:ascii="PF Din Text Comp Pro Light" w:hAnsi="PF Din Text Comp Pro Light"/>
          <w:color w:val="333333"/>
          <w:sz w:val="30"/>
          <w:szCs w:val="30"/>
        </w:rPr>
        <w:t>я</w:t>
      </w:r>
      <w:r w:rsidRPr="008A75E2">
        <w:rPr>
          <w:rFonts w:ascii="PF Din Text Comp Pro Light" w:hAnsi="PF Din Text Comp Pro Light"/>
          <w:color w:val="333333"/>
          <w:sz w:val="30"/>
          <w:szCs w:val="30"/>
        </w:rPr>
        <w:t>, сооружени</w:t>
      </w:r>
      <w:r w:rsidR="00A5590A">
        <w:rPr>
          <w:rFonts w:ascii="PF Din Text Comp Pro Light" w:hAnsi="PF Din Text Comp Pro Light"/>
          <w:color w:val="333333"/>
          <w:sz w:val="30"/>
          <w:szCs w:val="30"/>
        </w:rPr>
        <w:t>я</w:t>
      </w:r>
      <w:r w:rsidRPr="008A75E2">
        <w:rPr>
          <w:rFonts w:ascii="PF Din Text Comp Pro Light" w:hAnsi="PF Din Text Comp Pro Light"/>
          <w:color w:val="333333"/>
          <w:sz w:val="30"/>
          <w:szCs w:val="30"/>
        </w:rPr>
        <w:t>, помещени</w:t>
      </w:r>
      <w:r w:rsidR="00A5590A">
        <w:rPr>
          <w:rFonts w:ascii="PF Din Text Comp Pro Light" w:hAnsi="PF Din Text Comp Pro Light"/>
          <w:color w:val="333333"/>
          <w:sz w:val="30"/>
          <w:szCs w:val="30"/>
        </w:rPr>
        <w:t>я</w:t>
      </w:r>
      <w:r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; доля на имущество перечисленное выше. </w:t>
      </w:r>
      <w:proofErr w:type="gramEnd"/>
    </w:p>
    <w:p w:rsidR="002B7DC3" w:rsidRPr="008A75E2" w:rsidRDefault="002B7DC3" w:rsidP="002B7DC3">
      <w:pPr>
        <w:ind w:firstLine="709"/>
        <w:jc w:val="both"/>
        <w:rPr>
          <w:rFonts w:ascii="PF Din Text Comp Pro Light" w:hAnsi="PF Din Text Comp Pro Light"/>
          <w:color w:val="333333"/>
          <w:sz w:val="30"/>
          <w:szCs w:val="30"/>
        </w:rPr>
      </w:pPr>
      <w:r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</w:t>
      </w:r>
    </w:p>
    <w:p w:rsidR="00A5590A" w:rsidRPr="008A75E2" w:rsidRDefault="002B7DC3" w:rsidP="00A5590A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/>
          <w:sz w:val="30"/>
          <w:szCs w:val="30"/>
        </w:rPr>
      </w:pPr>
      <w:r w:rsidRPr="008A75E2">
        <w:rPr>
          <w:rFonts w:ascii="PF Din Text Comp Pro Light" w:hAnsi="PF Din Text Comp Pro Light"/>
          <w:sz w:val="30"/>
          <w:szCs w:val="30"/>
        </w:rPr>
        <w:t xml:space="preserve"> </w:t>
      </w:r>
      <w:r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С 1 января 2015 года вступила в силу 32 глава Налогового кодекса Российской Федерации, которая предусматривает новый порядок расчета имущественного налога. </w:t>
      </w:r>
      <w:r w:rsidRPr="008A75E2">
        <w:rPr>
          <w:rFonts w:ascii="PF Din Text Comp Pro Light" w:hAnsi="PF Din Text Comp Pro Light"/>
          <w:sz w:val="30"/>
          <w:szCs w:val="30"/>
        </w:rPr>
        <w:t>В свою очередь указанный порядок определения налоговой базы вводится на соответствующей территории нормативными правовыми актами представительных органов муниципальных образований (законами гг. Москвы, Санкт-Петербурга и Севастополя) после утверждения субъектом РФ результатов определения кадастровой стоимости</w:t>
      </w:r>
      <w:r w:rsidR="00D82949" w:rsidRPr="008A75E2">
        <w:rPr>
          <w:rFonts w:ascii="PF Din Text Comp Pro Light" w:hAnsi="PF Din Text Comp Pro Light"/>
          <w:sz w:val="30"/>
          <w:szCs w:val="30"/>
        </w:rPr>
        <w:t xml:space="preserve"> (далее – КС) </w:t>
      </w:r>
      <w:r w:rsidRPr="008A75E2">
        <w:rPr>
          <w:rFonts w:ascii="PF Din Text Comp Pro Light" w:hAnsi="PF Din Text Comp Pro Light"/>
          <w:sz w:val="30"/>
          <w:szCs w:val="30"/>
        </w:rPr>
        <w:t xml:space="preserve"> объектов недвижимого имущества.</w:t>
      </w:r>
      <w:r w:rsidR="00A5590A" w:rsidRPr="00A5590A">
        <w:rPr>
          <w:rFonts w:ascii="PF Din Text Comp Pro Light" w:hAnsi="PF Din Text Comp Pro Light"/>
          <w:sz w:val="30"/>
          <w:szCs w:val="30"/>
        </w:rPr>
        <w:t xml:space="preserve"> </w:t>
      </w:r>
      <w:r w:rsidR="00A5590A" w:rsidRPr="008A75E2">
        <w:rPr>
          <w:rFonts w:ascii="PF Din Text Comp Pro Light" w:hAnsi="PF Din Text Comp Pro Light"/>
          <w:sz w:val="30"/>
          <w:szCs w:val="30"/>
        </w:rPr>
        <w:t xml:space="preserve">С  01.01.2016 года </w:t>
      </w:r>
      <w:r w:rsidR="00037BA6" w:rsidRPr="00037BA6">
        <w:rPr>
          <w:rFonts w:ascii="PF Din Text Comp Pro Light" w:hAnsi="PF Din Text Comp Pro Light"/>
          <w:sz w:val="30"/>
          <w:szCs w:val="30"/>
        </w:rPr>
        <w:t>Закон</w:t>
      </w:r>
      <w:r w:rsidR="00037BA6">
        <w:rPr>
          <w:rFonts w:ascii="PF Din Text Comp Pro Light" w:hAnsi="PF Din Text Comp Pro Light"/>
          <w:sz w:val="30"/>
          <w:szCs w:val="30"/>
        </w:rPr>
        <w:t>ом</w:t>
      </w:r>
      <w:r w:rsidR="00037BA6" w:rsidRPr="00037BA6">
        <w:rPr>
          <w:rFonts w:ascii="PF Din Text Comp Pro Light" w:hAnsi="PF Din Text Comp Pro Light"/>
          <w:sz w:val="30"/>
          <w:szCs w:val="30"/>
        </w:rPr>
        <w:t xml:space="preserve"> Челябинской области "О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037BA6">
        <w:rPr>
          <w:rFonts w:ascii="PF Din Text Comp Pro Light" w:hAnsi="PF Din Text Comp Pro Light"/>
          <w:sz w:val="30"/>
          <w:szCs w:val="30"/>
        </w:rPr>
        <w:t xml:space="preserve"> </w:t>
      </w:r>
      <w:r w:rsidR="00A5590A" w:rsidRPr="008A75E2">
        <w:rPr>
          <w:rFonts w:ascii="PF Din Text Comp Pro Light" w:hAnsi="PF Din Text Comp Pro Light"/>
          <w:sz w:val="30"/>
          <w:szCs w:val="30"/>
        </w:rPr>
        <w:t xml:space="preserve">от </w:t>
      </w:r>
      <w:r w:rsidR="00037BA6" w:rsidRPr="00037BA6">
        <w:rPr>
          <w:rFonts w:ascii="PF Din Text Comp Pro Light" w:hAnsi="PF Din Text Comp Pro Light"/>
          <w:sz w:val="30"/>
          <w:szCs w:val="30"/>
        </w:rPr>
        <w:t>28.10.2015</w:t>
      </w:r>
      <w:r w:rsidR="00037BA6">
        <w:rPr>
          <w:rFonts w:ascii="PF Din Text Comp Pro Light" w:hAnsi="PF Din Text Comp Pro Light"/>
          <w:sz w:val="30"/>
          <w:szCs w:val="30"/>
        </w:rPr>
        <w:t xml:space="preserve"> </w:t>
      </w:r>
      <w:r w:rsidR="00A5590A" w:rsidRPr="008A75E2">
        <w:rPr>
          <w:rFonts w:ascii="PF Din Text Comp Pro Light" w:hAnsi="PF Din Text Comp Pro Light"/>
          <w:sz w:val="30"/>
          <w:szCs w:val="30"/>
        </w:rPr>
        <w:t xml:space="preserve">года </w:t>
      </w:r>
      <w:r w:rsidR="00037BA6">
        <w:rPr>
          <w:rFonts w:ascii="PF Din Text Comp Pro Light" w:hAnsi="PF Din Text Comp Pro Light"/>
          <w:sz w:val="30"/>
          <w:szCs w:val="30"/>
        </w:rPr>
        <w:t xml:space="preserve">№ </w:t>
      </w:r>
      <w:r w:rsidR="00037BA6" w:rsidRPr="00037BA6">
        <w:rPr>
          <w:rFonts w:ascii="PF Din Text Comp Pro Light" w:hAnsi="PF Din Text Comp Pro Light"/>
          <w:sz w:val="30"/>
          <w:szCs w:val="30"/>
        </w:rPr>
        <w:t>241-ЗО</w:t>
      </w:r>
      <w:r w:rsidR="00037BA6">
        <w:rPr>
          <w:rFonts w:ascii="PF Din Text Comp Pro Light" w:hAnsi="PF Din Text Comp Pro Light"/>
          <w:sz w:val="30"/>
          <w:szCs w:val="30"/>
        </w:rPr>
        <w:t xml:space="preserve"> </w:t>
      </w:r>
      <w:r w:rsidR="00A5590A" w:rsidRPr="008A75E2">
        <w:rPr>
          <w:rFonts w:ascii="PF Din Text Comp Pro Light" w:hAnsi="PF Din Text Comp Pro Light"/>
          <w:sz w:val="30"/>
          <w:szCs w:val="30"/>
        </w:rPr>
        <w:t>принято исчислять налог на имущество на территории Челябинской области по кадастровой стоимости.</w:t>
      </w:r>
    </w:p>
    <w:p w:rsidR="002B7DC3" w:rsidRPr="008A75E2" w:rsidRDefault="00D82949" w:rsidP="002B7DC3">
      <w:pPr>
        <w:shd w:val="clear" w:color="auto" w:fill="FFFFFF"/>
        <w:spacing w:line="360" w:lineRule="atLeast"/>
        <w:ind w:firstLine="709"/>
        <w:jc w:val="both"/>
        <w:rPr>
          <w:rFonts w:ascii="PF Din Text Comp Pro Light" w:hAnsi="PF Din Text Comp Pro Light"/>
          <w:color w:val="333333"/>
          <w:sz w:val="30"/>
          <w:szCs w:val="30"/>
        </w:rPr>
      </w:pPr>
      <w:r w:rsidRPr="008A75E2">
        <w:rPr>
          <w:rFonts w:ascii="PF Din Text Comp Pro Light" w:hAnsi="PF Din Text Comp Pro Light"/>
          <w:color w:val="333333"/>
          <w:sz w:val="30"/>
          <w:szCs w:val="30"/>
        </w:rPr>
        <w:t>Сведения о КС</w:t>
      </w:r>
      <w:r w:rsidR="008A75E2"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 </w:t>
      </w:r>
      <w:r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можно получить бесплатно в МФЦ «Мои документы» либо на сайте </w:t>
      </w:r>
      <w:proofErr w:type="spellStart"/>
      <w:r w:rsidRPr="008A75E2">
        <w:rPr>
          <w:rFonts w:ascii="PF Din Text Comp Pro Light" w:hAnsi="PF Din Text Comp Pro Light"/>
          <w:color w:val="333333"/>
          <w:sz w:val="30"/>
          <w:szCs w:val="30"/>
        </w:rPr>
        <w:t>Росреестра</w:t>
      </w:r>
      <w:proofErr w:type="spellEnd"/>
      <w:r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 </w:t>
      </w:r>
      <w:r w:rsidRPr="008A75E2">
        <w:rPr>
          <w:rFonts w:ascii="PF Din Text Comp Pro Light" w:eastAsia="Calibri" w:hAnsi="PF Din Text Comp Pro Light" w:cs="PFDinTextCondProLight"/>
          <w:sz w:val="30"/>
          <w:szCs w:val="30"/>
        </w:rPr>
        <w:t>(http://maps.rosreestr.ru/PortalOnline/).</w:t>
      </w:r>
    </w:p>
    <w:p w:rsidR="00D82949" w:rsidRPr="008A75E2" w:rsidRDefault="002B7DC3" w:rsidP="002B7DC3">
      <w:pPr>
        <w:shd w:val="clear" w:color="auto" w:fill="FFFFFF"/>
        <w:spacing w:line="360" w:lineRule="atLeast"/>
        <w:ind w:firstLine="709"/>
        <w:jc w:val="both"/>
        <w:rPr>
          <w:rFonts w:ascii="PF Din Text Comp Pro Light" w:hAnsi="PF Din Text Comp Pro Light"/>
          <w:color w:val="333333"/>
          <w:sz w:val="30"/>
          <w:szCs w:val="30"/>
        </w:rPr>
      </w:pPr>
      <w:r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 </w:t>
      </w:r>
      <w:r w:rsidR="00D82949"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По желанию налогоплательщика КС может быть пересмотрена в суде или комиссии по рассмотрению споров о результатах определения </w:t>
      </w:r>
      <w:r w:rsidR="008A75E2"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КС при Управлении </w:t>
      </w:r>
      <w:proofErr w:type="spellStart"/>
      <w:r w:rsidR="008A75E2" w:rsidRPr="008A75E2">
        <w:rPr>
          <w:rFonts w:ascii="PF Din Text Comp Pro Light" w:hAnsi="PF Din Text Comp Pro Light"/>
          <w:color w:val="333333"/>
          <w:sz w:val="30"/>
          <w:szCs w:val="30"/>
        </w:rPr>
        <w:t>Росреестра</w:t>
      </w:r>
      <w:proofErr w:type="spellEnd"/>
      <w:r w:rsidR="008A75E2" w:rsidRPr="008A75E2">
        <w:rPr>
          <w:rFonts w:ascii="PF Din Text Comp Pro Light" w:hAnsi="PF Din Text Comp Pro Light"/>
          <w:color w:val="333333"/>
          <w:sz w:val="30"/>
          <w:szCs w:val="30"/>
        </w:rPr>
        <w:t xml:space="preserve"> о Ч</w:t>
      </w:r>
      <w:r w:rsidR="00D82949" w:rsidRPr="008A75E2">
        <w:rPr>
          <w:rFonts w:ascii="PF Din Text Comp Pro Light" w:hAnsi="PF Din Text Comp Pro Light"/>
          <w:color w:val="333333"/>
          <w:sz w:val="30"/>
          <w:szCs w:val="30"/>
        </w:rPr>
        <w:t>елябинской области.</w:t>
      </w:r>
    </w:p>
    <w:p w:rsidR="00A5590A" w:rsidRDefault="008A75E2" w:rsidP="00A5590A">
      <w:pPr>
        <w:shd w:val="clear" w:color="auto" w:fill="FFFFFF"/>
        <w:spacing w:line="360" w:lineRule="atLeast"/>
        <w:ind w:firstLine="709"/>
        <w:jc w:val="both"/>
        <w:rPr>
          <w:rFonts w:ascii="PF Din Text Comp Pro Light" w:hAnsi="PF Din Text Comp Pro Light"/>
          <w:sz w:val="30"/>
          <w:szCs w:val="30"/>
        </w:rPr>
      </w:pPr>
      <w:r w:rsidRPr="008A75E2">
        <w:rPr>
          <w:rFonts w:ascii="PF Din Text Comp Pro Light" w:hAnsi="PF Din Text Comp Pro Light"/>
          <w:color w:val="000000"/>
          <w:sz w:val="30"/>
          <w:szCs w:val="30"/>
        </w:rPr>
        <w:t xml:space="preserve">При исчислении налога, </w:t>
      </w:r>
      <w:r w:rsidR="002B7DC3" w:rsidRPr="008A75E2">
        <w:rPr>
          <w:rFonts w:ascii="PF Din Text Comp Pro Light" w:hAnsi="PF Din Text Comp Pro Light"/>
          <w:color w:val="000000"/>
          <w:sz w:val="30"/>
          <w:szCs w:val="30"/>
        </w:rPr>
        <w:t xml:space="preserve">исходя из </w:t>
      </w:r>
      <w:r w:rsidR="00D82949" w:rsidRPr="008A75E2">
        <w:rPr>
          <w:rFonts w:ascii="PF Din Text Comp Pro Light" w:hAnsi="PF Din Text Comp Pro Light"/>
          <w:color w:val="000000"/>
          <w:sz w:val="30"/>
          <w:szCs w:val="30"/>
        </w:rPr>
        <w:t>КС</w:t>
      </w:r>
      <w:r w:rsidR="00972BF2">
        <w:rPr>
          <w:rFonts w:ascii="PF Din Text Comp Pro Light" w:hAnsi="PF Din Text Comp Pro Light"/>
          <w:color w:val="000000"/>
          <w:sz w:val="30"/>
          <w:szCs w:val="30"/>
        </w:rPr>
        <w:t xml:space="preserve">, </w:t>
      </w:r>
      <w:r w:rsidR="002B7DC3" w:rsidRPr="008A75E2">
        <w:rPr>
          <w:rFonts w:ascii="PF Din Text Comp Pro Light" w:hAnsi="PF Din Text Comp Pro Light"/>
          <w:color w:val="000000"/>
          <w:sz w:val="30"/>
          <w:szCs w:val="30"/>
        </w:rPr>
        <w:t>предусмотрены налоговые вычеты, а именно уменьшение кадастровой стоимости на кадастровую стоимость</w:t>
      </w:r>
      <w:r w:rsidR="002B7DC3" w:rsidRPr="008A75E2">
        <w:rPr>
          <w:color w:val="000000"/>
          <w:sz w:val="30"/>
          <w:szCs w:val="30"/>
        </w:rPr>
        <w:t> </w:t>
      </w:r>
      <w:r w:rsidR="002B7DC3" w:rsidRPr="008A75E2">
        <w:rPr>
          <w:rFonts w:ascii="PF Din Text Comp Pro Light" w:hAnsi="PF Din Text Comp Pro Light"/>
          <w:bCs/>
          <w:color w:val="000000"/>
          <w:sz w:val="30"/>
          <w:szCs w:val="30"/>
        </w:rPr>
        <w:t>10 кв.м.</w:t>
      </w:r>
      <w:r w:rsidR="002B7DC3" w:rsidRPr="008A75E2">
        <w:rPr>
          <w:color w:val="000000"/>
          <w:sz w:val="30"/>
          <w:szCs w:val="30"/>
        </w:rPr>
        <w:t> </w:t>
      </w:r>
      <w:r w:rsidR="002B7DC3" w:rsidRPr="008A75E2">
        <w:rPr>
          <w:rFonts w:ascii="PF Din Text Comp Pro Light" w:hAnsi="PF Din Text Comp Pro Light"/>
          <w:color w:val="000000"/>
          <w:sz w:val="30"/>
          <w:szCs w:val="30"/>
        </w:rPr>
        <w:t>в отношении комнат,</w:t>
      </w:r>
      <w:r w:rsidR="002B7DC3" w:rsidRPr="008A75E2">
        <w:rPr>
          <w:color w:val="000000"/>
          <w:sz w:val="30"/>
          <w:szCs w:val="30"/>
        </w:rPr>
        <w:t> </w:t>
      </w:r>
      <w:r w:rsidR="002B7DC3" w:rsidRPr="008A75E2">
        <w:rPr>
          <w:rFonts w:ascii="PF Din Text Comp Pro Light" w:hAnsi="PF Din Text Comp Pro Light"/>
          <w:bCs/>
          <w:color w:val="000000"/>
          <w:sz w:val="30"/>
          <w:szCs w:val="30"/>
        </w:rPr>
        <w:t>20 кв.м.</w:t>
      </w:r>
      <w:r w:rsidR="002B7DC3" w:rsidRPr="008A75E2">
        <w:rPr>
          <w:color w:val="000000"/>
          <w:sz w:val="30"/>
          <w:szCs w:val="30"/>
        </w:rPr>
        <w:t> </w:t>
      </w:r>
      <w:r w:rsidR="002B7DC3" w:rsidRPr="008A75E2">
        <w:rPr>
          <w:rFonts w:ascii="PF Din Text Comp Pro Light" w:hAnsi="PF Din Text Comp Pro Light"/>
          <w:color w:val="000000"/>
          <w:sz w:val="30"/>
          <w:szCs w:val="30"/>
        </w:rPr>
        <w:t>в отношении квартир,</w:t>
      </w:r>
      <w:r w:rsidR="002B7DC3" w:rsidRPr="008A75E2">
        <w:rPr>
          <w:color w:val="000000"/>
          <w:sz w:val="30"/>
          <w:szCs w:val="30"/>
        </w:rPr>
        <w:t> </w:t>
      </w:r>
      <w:r w:rsidR="002B7DC3" w:rsidRPr="008A75E2">
        <w:rPr>
          <w:rFonts w:ascii="PF Din Text Comp Pro Light" w:hAnsi="PF Din Text Comp Pro Light"/>
          <w:bCs/>
          <w:color w:val="000000"/>
          <w:sz w:val="30"/>
          <w:szCs w:val="30"/>
        </w:rPr>
        <w:t>50 кв. м.</w:t>
      </w:r>
      <w:r w:rsidR="002B7DC3" w:rsidRPr="008A75E2">
        <w:rPr>
          <w:color w:val="000000"/>
          <w:sz w:val="30"/>
          <w:szCs w:val="30"/>
        </w:rPr>
        <w:t> </w:t>
      </w:r>
      <w:r w:rsidR="002B7DC3" w:rsidRPr="008A75E2">
        <w:rPr>
          <w:rFonts w:ascii="PF Din Text Comp Pro Light" w:hAnsi="PF Din Text Comp Pro Light"/>
          <w:color w:val="000000"/>
          <w:sz w:val="30"/>
          <w:szCs w:val="30"/>
        </w:rPr>
        <w:t>в отношении жилых домов.</w:t>
      </w:r>
      <w:r w:rsidR="00A5590A" w:rsidRPr="00A5590A">
        <w:rPr>
          <w:rFonts w:ascii="PF Din Text Comp Pro Light" w:hAnsi="PF Din Text Comp Pro Light"/>
          <w:sz w:val="30"/>
          <w:szCs w:val="30"/>
        </w:rPr>
        <w:t xml:space="preserve"> </w:t>
      </w:r>
    </w:p>
    <w:p w:rsidR="00A5590A" w:rsidRPr="008A75E2" w:rsidRDefault="00A5590A" w:rsidP="00A5590A">
      <w:pPr>
        <w:shd w:val="clear" w:color="auto" w:fill="FFFFFF"/>
        <w:spacing w:line="360" w:lineRule="atLeast"/>
        <w:ind w:firstLine="709"/>
        <w:jc w:val="both"/>
        <w:rPr>
          <w:rFonts w:ascii="PF Din Text Comp Pro Light" w:hAnsi="PF Din Text Comp Pro Light"/>
          <w:sz w:val="30"/>
          <w:szCs w:val="30"/>
        </w:rPr>
      </w:pPr>
      <w:r w:rsidRPr="008A75E2">
        <w:rPr>
          <w:rFonts w:ascii="PF Din Text Comp Pro Light" w:hAnsi="PF Din Text Comp Pro Light"/>
          <w:sz w:val="30"/>
          <w:szCs w:val="30"/>
        </w:rPr>
        <w:t>Чтобы ознакомиться с принятыми органами местного самоуправления нормативными правовыми актами об установлении налоговых</w:t>
      </w:r>
      <w:r w:rsidRPr="008A75E2">
        <w:rPr>
          <w:sz w:val="30"/>
          <w:szCs w:val="30"/>
        </w:rPr>
        <w:t> </w:t>
      </w:r>
      <w:r w:rsidRPr="008A75E2">
        <w:rPr>
          <w:rFonts w:ascii="PF Din Text Comp Pro Light" w:hAnsi="PF Din Text Comp Pro Light"/>
          <w:bCs/>
          <w:sz w:val="30"/>
          <w:szCs w:val="30"/>
        </w:rPr>
        <w:t>ставок, дополнительных вычетов и льгот</w:t>
      </w:r>
      <w:r w:rsidRPr="008A75E2">
        <w:rPr>
          <w:rFonts w:ascii="PF Din Text Comp Pro Light" w:hAnsi="PF Din Text Comp Pro Light"/>
          <w:sz w:val="30"/>
          <w:szCs w:val="30"/>
        </w:rPr>
        <w:t xml:space="preserve"> можно обратиться в соответствующий орган местного самоуправления, а также на</w:t>
      </w:r>
      <w:r w:rsidRPr="008A75E2">
        <w:rPr>
          <w:sz w:val="30"/>
          <w:szCs w:val="30"/>
        </w:rPr>
        <w:t> </w:t>
      </w:r>
      <w:hyperlink r:id="rId8" w:tgtFrame="_blank" w:history="1">
        <w:r w:rsidRPr="008A75E2">
          <w:rPr>
            <w:rFonts w:ascii="PF Din Text Comp Pro Light" w:hAnsi="PF Din Text Comp Pro Light"/>
            <w:sz w:val="30"/>
            <w:szCs w:val="30"/>
          </w:rPr>
          <w:t>сайте ФНС России в сервисе  «Справочная информация о ставках и льготах по имущественным налогам»</w:t>
        </w:r>
      </w:hyperlink>
      <w:r w:rsidRPr="008A75E2">
        <w:rPr>
          <w:rFonts w:ascii="PF Din Text Comp Pro Light" w:hAnsi="PF Din Text Comp Pro Light"/>
          <w:sz w:val="30"/>
          <w:szCs w:val="30"/>
        </w:rPr>
        <w:t>.</w:t>
      </w:r>
    </w:p>
    <w:p w:rsidR="008A75E2" w:rsidRPr="008A75E2" w:rsidRDefault="008A75E2" w:rsidP="008A75E2">
      <w:pPr>
        <w:ind w:firstLine="708"/>
        <w:jc w:val="both"/>
        <w:rPr>
          <w:rFonts w:ascii="PF Din Text Comp Pro Light" w:hAnsi="PF Din Text Comp Pro Light"/>
          <w:sz w:val="30"/>
          <w:szCs w:val="30"/>
        </w:rPr>
      </w:pPr>
      <w:r w:rsidRPr="008A75E2">
        <w:rPr>
          <w:rFonts w:ascii="PF Din Text Comp Pro Light" w:hAnsi="PF Din Text Comp Pro Light"/>
          <w:sz w:val="30"/>
          <w:szCs w:val="30"/>
        </w:rPr>
        <w:t>Налог уплачивается на основании налогового уведомления, направляемого налогоплательщику налоговым органом.</w:t>
      </w:r>
    </w:p>
    <w:p w:rsidR="000206D8" w:rsidRDefault="000206D8" w:rsidP="008A75E2">
      <w:pPr>
        <w:ind w:firstLine="708"/>
        <w:jc w:val="both"/>
        <w:rPr>
          <w:rFonts w:ascii="PF Din Text Comp Pro Light" w:hAnsi="PF Din Text Comp Pro Light"/>
          <w:sz w:val="30"/>
          <w:szCs w:val="30"/>
        </w:rPr>
      </w:pPr>
    </w:p>
    <w:p w:rsidR="008A75E2" w:rsidRPr="008A75E2" w:rsidRDefault="008A75E2" w:rsidP="008A75E2">
      <w:pPr>
        <w:ind w:firstLine="708"/>
        <w:jc w:val="both"/>
        <w:rPr>
          <w:rFonts w:ascii="PF Din Text Comp Pro Light" w:hAnsi="PF Din Text Comp Pro Light"/>
          <w:sz w:val="30"/>
          <w:szCs w:val="30"/>
        </w:rPr>
      </w:pPr>
      <w:r w:rsidRPr="008A75E2">
        <w:rPr>
          <w:rFonts w:ascii="PF Din Text Comp Pro Light" w:hAnsi="PF Din Text Comp Pro Light"/>
          <w:sz w:val="30"/>
          <w:szCs w:val="30"/>
        </w:rPr>
        <w:t xml:space="preserve">Налог на имущество за 2016 год подлежит уплате не позднее 1 декабря 2017 года. </w:t>
      </w:r>
    </w:p>
    <w:p w:rsidR="00214816" w:rsidRPr="008A75E2" w:rsidRDefault="008A75E2" w:rsidP="008A75E2">
      <w:pPr>
        <w:ind w:firstLine="708"/>
        <w:jc w:val="both"/>
        <w:rPr>
          <w:rFonts w:ascii="PF Din Text Comp Pro Light" w:hAnsi="PF Din Text Comp Pro Light"/>
          <w:sz w:val="30"/>
          <w:szCs w:val="30"/>
        </w:rPr>
      </w:pPr>
      <w:r w:rsidRPr="008A75E2">
        <w:rPr>
          <w:rFonts w:ascii="PF Din Text Comp Pro Light" w:hAnsi="PF Din Text Comp Pro Light"/>
          <w:sz w:val="30"/>
          <w:szCs w:val="30"/>
        </w:rPr>
        <w:t xml:space="preserve">    </w:t>
      </w:r>
    </w:p>
    <w:sectPr w:rsidR="00214816" w:rsidRPr="008A75E2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49" w:rsidRDefault="00D82949">
      <w:r>
        <w:separator/>
      </w:r>
    </w:p>
  </w:endnote>
  <w:endnote w:type="continuationSeparator" w:id="1">
    <w:p w:rsidR="00D82949" w:rsidRDefault="00D8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DinTextCondPro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49" w:rsidRDefault="003D0454">
    <w:pPr>
      <w:pStyle w:val="a8"/>
    </w:pPr>
    <w:r>
      <w:rPr>
        <w:rFonts w:ascii="PF Din Text Cond Pro Light" w:hAnsi="PF Din Text Cond Pro Light"/>
        <w:b/>
        <w:color w:val="FFFFFF"/>
      </w:rPr>
      <w:t>Контакт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49" w:rsidRDefault="00D82949">
      <w:r>
        <w:separator/>
      </w:r>
    </w:p>
  </w:footnote>
  <w:footnote w:type="continuationSeparator" w:id="1">
    <w:p w:rsidR="00D82949" w:rsidRDefault="00D82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49" w:rsidRDefault="00D82949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6561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06D8"/>
    <w:rsid w:val="00025677"/>
    <w:rsid w:val="000343D3"/>
    <w:rsid w:val="00036069"/>
    <w:rsid w:val="00037BA6"/>
    <w:rsid w:val="000458D4"/>
    <w:rsid w:val="00054494"/>
    <w:rsid w:val="00062433"/>
    <w:rsid w:val="00076C8A"/>
    <w:rsid w:val="000839CF"/>
    <w:rsid w:val="000876F7"/>
    <w:rsid w:val="00094FC4"/>
    <w:rsid w:val="000C087A"/>
    <w:rsid w:val="000D1AF2"/>
    <w:rsid w:val="000F1096"/>
    <w:rsid w:val="00104086"/>
    <w:rsid w:val="00134EFF"/>
    <w:rsid w:val="00166D1C"/>
    <w:rsid w:val="00181835"/>
    <w:rsid w:val="001A7FE2"/>
    <w:rsid w:val="001B39B1"/>
    <w:rsid w:val="00204284"/>
    <w:rsid w:val="00206ED2"/>
    <w:rsid w:val="00214816"/>
    <w:rsid w:val="00215218"/>
    <w:rsid w:val="00240988"/>
    <w:rsid w:val="00262160"/>
    <w:rsid w:val="0026330C"/>
    <w:rsid w:val="00272ACA"/>
    <w:rsid w:val="002B0566"/>
    <w:rsid w:val="002B7DC3"/>
    <w:rsid w:val="002D015C"/>
    <w:rsid w:val="002F13D8"/>
    <w:rsid w:val="002F5614"/>
    <w:rsid w:val="00302E73"/>
    <w:rsid w:val="00314FF4"/>
    <w:rsid w:val="0033320B"/>
    <w:rsid w:val="00336279"/>
    <w:rsid w:val="0035083B"/>
    <w:rsid w:val="0035366F"/>
    <w:rsid w:val="003642A3"/>
    <w:rsid w:val="00371906"/>
    <w:rsid w:val="00374987"/>
    <w:rsid w:val="00390C75"/>
    <w:rsid w:val="003A3A36"/>
    <w:rsid w:val="003B1038"/>
    <w:rsid w:val="003D0454"/>
    <w:rsid w:val="003D17D5"/>
    <w:rsid w:val="003D30EA"/>
    <w:rsid w:val="004002A7"/>
    <w:rsid w:val="004140B8"/>
    <w:rsid w:val="0042238C"/>
    <w:rsid w:val="00443AD2"/>
    <w:rsid w:val="004A75D7"/>
    <w:rsid w:val="004B5781"/>
    <w:rsid w:val="004C50FB"/>
    <w:rsid w:val="004C5F54"/>
    <w:rsid w:val="004D33E0"/>
    <w:rsid w:val="004F4378"/>
    <w:rsid w:val="004F4D2D"/>
    <w:rsid w:val="004F7095"/>
    <w:rsid w:val="00552CC2"/>
    <w:rsid w:val="005A4A5A"/>
    <w:rsid w:val="005B60CA"/>
    <w:rsid w:val="005C7B2D"/>
    <w:rsid w:val="006005DC"/>
    <w:rsid w:val="00604ACC"/>
    <w:rsid w:val="0061696B"/>
    <w:rsid w:val="00624377"/>
    <w:rsid w:val="006911D9"/>
    <w:rsid w:val="00695BC3"/>
    <w:rsid w:val="006A7EB9"/>
    <w:rsid w:val="006B6DA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7F011E"/>
    <w:rsid w:val="00807E3D"/>
    <w:rsid w:val="00820532"/>
    <w:rsid w:val="008205AB"/>
    <w:rsid w:val="00830FC1"/>
    <w:rsid w:val="00851095"/>
    <w:rsid w:val="008626B7"/>
    <w:rsid w:val="00873CD1"/>
    <w:rsid w:val="0087546C"/>
    <w:rsid w:val="008A75E2"/>
    <w:rsid w:val="008D6EF2"/>
    <w:rsid w:val="008E0DC5"/>
    <w:rsid w:val="009025B5"/>
    <w:rsid w:val="009042FA"/>
    <w:rsid w:val="00913C67"/>
    <w:rsid w:val="00940B7E"/>
    <w:rsid w:val="00940D40"/>
    <w:rsid w:val="00950BBD"/>
    <w:rsid w:val="00966AC1"/>
    <w:rsid w:val="00972BF2"/>
    <w:rsid w:val="009943AF"/>
    <w:rsid w:val="009B3F5D"/>
    <w:rsid w:val="009C57FF"/>
    <w:rsid w:val="009E55B1"/>
    <w:rsid w:val="00A17B58"/>
    <w:rsid w:val="00A2177D"/>
    <w:rsid w:val="00A32512"/>
    <w:rsid w:val="00A35168"/>
    <w:rsid w:val="00A454F4"/>
    <w:rsid w:val="00A53558"/>
    <w:rsid w:val="00A5590A"/>
    <w:rsid w:val="00A7261B"/>
    <w:rsid w:val="00A73966"/>
    <w:rsid w:val="00A7767B"/>
    <w:rsid w:val="00A820D2"/>
    <w:rsid w:val="00A931A0"/>
    <w:rsid w:val="00A95FD4"/>
    <w:rsid w:val="00A9669C"/>
    <w:rsid w:val="00AA7140"/>
    <w:rsid w:val="00AB37B9"/>
    <w:rsid w:val="00AD0BB3"/>
    <w:rsid w:val="00AD2EB4"/>
    <w:rsid w:val="00AE3FA1"/>
    <w:rsid w:val="00B11ACA"/>
    <w:rsid w:val="00B2769C"/>
    <w:rsid w:val="00B357B7"/>
    <w:rsid w:val="00B37F29"/>
    <w:rsid w:val="00B41266"/>
    <w:rsid w:val="00B42546"/>
    <w:rsid w:val="00B70B43"/>
    <w:rsid w:val="00B734DF"/>
    <w:rsid w:val="00B84C71"/>
    <w:rsid w:val="00BA7ED0"/>
    <w:rsid w:val="00BC5D2D"/>
    <w:rsid w:val="00C223D1"/>
    <w:rsid w:val="00C4123A"/>
    <w:rsid w:val="00C41BBF"/>
    <w:rsid w:val="00C8601B"/>
    <w:rsid w:val="00CA1876"/>
    <w:rsid w:val="00CB2853"/>
    <w:rsid w:val="00CE7509"/>
    <w:rsid w:val="00D0552C"/>
    <w:rsid w:val="00D06283"/>
    <w:rsid w:val="00D119D7"/>
    <w:rsid w:val="00D20A5C"/>
    <w:rsid w:val="00D23601"/>
    <w:rsid w:val="00D24494"/>
    <w:rsid w:val="00D81367"/>
    <w:rsid w:val="00D82949"/>
    <w:rsid w:val="00D8470F"/>
    <w:rsid w:val="00D84976"/>
    <w:rsid w:val="00D87C5D"/>
    <w:rsid w:val="00DC19C6"/>
    <w:rsid w:val="00DF3885"/>
    <w:rsid w:val="00DF6674"/>
    <w:rsid w:val="00E041D3"/>
    <w:rsid w:val="00E117C4"/>
    <w:rsid w:val="00E21CB9"/>
    <w:rsid w:val="00E44F39"/>
    <w:rsid w:val="00E46970"/>
    <w:rsid w:val="00E66003"/>
    <w:rsid w:val="00EA7971"/>
    <w:rsid w:val="00EB51F4"/>
    <w:rsid w:val="00EF1CF0"/>
    <w:rsid w:val="00EF7641"/>
    <w:rsid w:val="00F00154"/>
    <w:rsid w:val="00F67938"/>
    <w:rsid w:val="00F91958"/>
    <w:rsid w:val="00FA170A"/>
    <w:rsid w:val="00FA5BD3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F01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ru/rn77/service/ta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E937-EFB9-49D0-9778-5BA794C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7</cp:revision>
  <cp:lastPrinted>2017-05-04T09:16:00Z</cp:lastPrinted>
  <dcterms:created xsi:type="dcterms:W3CDTF">2017-05-04T09:18:00Z</dcterms:created>
  <dcterms:modified xsi:type="dcterms:W3CDTF">2017-05-04T10:22:00Z</dcterms:modified>
</cp:coreProperties>
</file>