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7E50B4"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ДОЛГОДЕРЕВЕНСКОГО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7E50B4">
              <w:rPr>
                <w:sz w:val="22"/>
                <w:szCs w:val="22"/>
              </w:rPr>
              <w:t>Долгодеревенского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7E50B4">
              <w:rPr>
                <w:spacing w:val="2"/>
                <w:sz w:val="22"/>
                <w:szCs w:val="22"/>
              </w:rPr>
              <w:t>Долгодеревенского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7E50B4">
              <w:rPr>
                <w:rFonts w:eastAsia="Arial" w:cs="Arial"/>
                <w:bCs/>
                <w:spacing w:val="2"/>
                <w:sz w:val="22"/>
                <w:szCs w:val="22"/>
              </w:rPr>
              <w:t>Долгодеревенского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7E50B4">
        <w:rPr>
          <w:rFonts w:ascii="Segoe UI Light" w:hAnsi="Segoe UI Light"/>
        </w:rPr>
        <w:t>Долгодеревенского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7E50B4">
        <w:rPr>
          <w:rFonts w:ascii="Segoe UI Light" w:eastAsia="Times New Roman" w:hAnsi="Segoe UI Light" w:cs="Times New Roman"/>
          <w:lang w:eastAsia="ru-RU"/>
        </w:rPr>
        <w:t>Долгодеревенского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7E50B4">
        <w:rPr>
          <w:rFonts w:ascii="Segoe UI Light" w:hAnsi="Segoe UI Light"/>
        </w:rPr>
        <w:t>Долгодеревенского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7E50B4">
        <w:rPr>
          <w:rFonts w:ascii="Segoe UI Light" w:eastAsia="Arial" w:hAnsi="Segoe UI Light" w:cs="Arial"/>
        </w:rPr>
        <w:t>Долгодеревенского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7E50B4">
        <w:rPr>
          <w:rFonts w:ascii="Segoe UI Light" w:eastAsia="Arial" w:hAnsi="Segoe UI Light" w:cs="Arial"/>
        </w:rPr>
        <w:t>Долгодеревенского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7E50B4">
        <w:rPr>
          <w:rFonts w:ascii="Segoe UI Light" w:eastAsia="Arial" w:hAnsi="Segoe UI Light" w:cs="Arial"/>
        </w:rPr>
        <w:t>Долгодеревенского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3D" w:rsidRDefault="002A1A3D" w:rsidP="001A4604">
      <w:pPr>
        <w:spacing w:after="0" w:line="240" w:lineRule="auto"/>
      </w:pPr>
      <w:r>
        <w:separator/>
      </w:r>
    </w:p>
  </w:endnote>
  <w:endnote w:type="continuationSeparator" w:id="0">
    <w:p w:rsidR="002A1A3D" w:rsidRDefault="002A1A3D"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3D" w:rsidRDefault="002A1A3D" w:rsidP="001A4604">
      <w:pPr>
        <w:spacing w:after="0" w:line="240" w:lineRule="auto"/>
      </w:pPr>
      <w:r>
        <w:separator/>
      </w:r>
    </w:p>
  </w:footnote>
  <w:footnote w:type="continuationSeparator" w:id="0">
    <w:p w:rsidR="002A1A3D" w:rsidRDefault="002A1A3D"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441CC4" w:rsidP="002257C5">
        <w:pPr>
          <w:pStyle w:val="a9"/>
          <w:jc w:val="right"/>
        </w:pPr>
        <w:r>
          <w:fldChar w:fldCharType="begin"/>
        </w:r>
        <w:r w:rsidR="002067E7">
          <w:instrText xml:space="preserve"> PAGE   \* MERGEFORMAT </w:instrText>
        </w:r>
        <w:r>
          <w:fldChar w:fldCharType="separate"/>
        </w:r>
        <w:r w:rsidR="007E50B4">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1A3D"/>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1CC4"/>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50B4"/>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3E385-706F-4CBC-9447-3C977D06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2016-10-25T06:56:00Z</dcterms:modified>
</cp:coreProperties>
</file>