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82386E" w:rsidRPr="00AE028F" w:rsidRDefault="00AE028F" w:rsidP="00294F7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1F497D" w:themeColor="text2"/>
          <w:sz w:val="36"/>
          <w:szCs w:val="36"/>
        </w:rPr>
      </w:pPr>
      <w:r w:rsidRPr="00AE028F">
        <w:rPr>
          <w:rFonts w:ascii="PF Din Text Cond Pro Light" w:eastAsia="Calibri" w:hAnsi="PF Din Text Cond Pro Light" w:cs="PF Din Text Cond Pro Light"/>
          <w:b/>
          <w:color w:val="1F497D" w:themeColor="text2"/>
          <w:sz w:val="36"/>
          <w:szCs w:val="36"/>
        </w:rPr>
        <w:t>ФОРМЫ ГОДОВОЙ, КВАРТАЛЬНОЙ БУХГАЛТЕРСКОЙ ОТЧЕТНОСТИ ГОСУДАРСТВЕННЫХ (МУНИЦИПАЛЬНЫХ) БЮДЖЕТНЫХ И АВТОНОМНЫХ УЧРЕЖДЕНИЙ</w:t>
      </w:r>
    </w:p>
    <w:p w:rsidR="00B0096D" w:rsidRPr="00AE028F" w:rsidRDefault="00B0096D" w:rsidP="00294F7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color w:val="0070C0"/>
          <w:sz w:val="28"/>
          <w:szCs w:val="28"/>
        </w:rPr>
      </w:pPr>
    </w:p>
    <w:p w:rsidR="00B0096D" w:rsidRDefault="00AE028F" w:rsidP="00294F7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Обращаем внимание на формирование форм бухгалтерской отчетности по КНД:</w:t>
      </w:r>
    </w:p>
    <w:p w:rsidR="00AE028F" w:rsidRPr="00AE028F" w:rsidRDefault="00AE028F" w:rsidP="00294F7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B0096D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0503721- Отчет о финансовых результатах деятельности учреждения</w:t>
      </w:r>
    </w:p>
    <w:p w:rsidR="00B0096D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0503730 - Баланс государственного (муниципального учреждения)</w:t>
      </w:r>
    </w:p>
    <w:p w:rsidR="00AE028F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0503737 - </w:t>
      </w:r>
      <w:r w:rsidR="00AE028F"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Отчёт об исполнении учреждением его финансово-хозяйственной деятельности</w:t>
      </w:r>
    </w:p>
    <w:p w:rsidR="00AE028F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0503769</w:t>
      </w:r>
      <w:r w:rsidR="00AE028F"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– Сведения по дебиторской и кредиторской задолженности учреждения </w:t>
      </w:r>
    </w:p>
    <w:p w:rsidR="00AE028F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0503779</w:t>
      </w:r>
      <w:r w:rsidR="00AE028F"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- Сведения об остатках денежных средств учреждения </w:t>
      </w:r>
    </w:p>
    <w:p w:rsidR="00B0096D" w:rsidRPr="00AE028F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0503830</w:t>
      </w:r>
      <w:r w:rsidR="00AE028F"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- Разделительный (ликвидационный баланс государственного (муниципального учреждения))</w:t>
      </w:r>
    </w:p>
    <w:p w:rsidR="00B0096D" w:rsidRDefault="00B0096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CE73DA" w:rsidRDefault="00CE73DA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CE73DA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в электронном виде в соответствии с приказом Минфина от 27 марта 2015 г. </w:t>
      </w:r>
    </w:p>
    <w:p w:rsidR="00CE73DA" w:rsidRDefault="00CE73DA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CE73DA">
        <w:rPr>
          <w:rFonts w:ascii="PF Din Text Cond Pro Light" w:eastAsia="Calibri" w:hAnsi="PF Din Text Cond Pro Light" w:cs="PF Din Text Cond Pro Light"/>
          <w:sz w:val="32"/>
          <w:szCs w:val="32"/>
        </w:rPr>
        <w:t>N ММВ-7-6/126@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.</w:t>
      </w:r>
    </w:p>
    <w:p w:rsidR="00CE73DA" w:rsidRDefault="00CE73DA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5E005D" w:rsidRPr="005E005D" w:rsidRDefault="00CE73DA" w:rsidP="005E005D">
      <w:pPr>
        <w:pStyle w:val="ConsPlusNormal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На бумажном носителе 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машиночитаем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ые 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форм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>ы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в формате TIF, рекомендованн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ФНС России, размещен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>ы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на сайте ФГУП ГНИВЦ ФНС России </w:t>
      </w:r>
      <w:hyperlink r:id="rId8" w:history="1">
        <w:r w:rsidR="005E005D"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www.gnivc.ru</w:t>
        </w:r>
      </w:hyperlink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.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, 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в формате PDF, подготовленн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на основании TIF-шаблона ФГУП ГНИВЦ ФНС России и доступн</w:t>
      </w:r>
      <w:r w:rsidR="005E005D"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для заполнения в программе </w:t>
      </w:r>
      <w:proofErr w:type="spellStart"/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Adobe</w:t>
      </w:r>
      <w:proofErr w:type="spellEnd"/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</w:t>
      </w:r>
      <w:proofErr w:type="spellStart"/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Reader</w:t>
      </w:r>
      <w:proofErr w:type="spellEnd"/>
      <w:r w:rsidR="005E005D"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(программа размещена на сайте www.adobe.com).</w:t>
      </w:r>
    </w:p>
    <w:p w:rsidR="00CE73DA" w:rsidRDefault="00CE73DA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AF7BC8" w:rsidRDefault="005E005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На сайте </w:t>
      </w:r>
      <w:hyperlink r:id="rId9" w:history="1"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www</w:t>
        </w:r>
        <w:r w:rsidRPr="005E005D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.</w:t>
        </w:r>
        <w:proofErr w:type="spellStart"/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nalog</w:t>
        </w:r>
        <w:proofErr w:type="spellEnd"/>
        <w:r w:rsidRPr="005E005D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.</w:t>
        </w:r>
        <w:proofErr w:type="spellStart"/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имеется </w:t>
      </w:r>
      <w:r w:rsidR="00AF7BC8">
        <w:rPr>
          <w:rFonts w:ascii="PF Din Text Cond Pro Light" w:eastAsia="Calibri" w:hAnsi="PF Din Text Cond Pro Light" w:cs="PF Din Text Cond Pro Light"/>
          <w:sz w:val="32"/>
          <w:szCs w:val="32"/>
        </w:rPr>
        <w:t>возможность скачать формы бухгалтерской (финансовой) отчетности:</w:t>
      </w:r>
    </w:p>
    <w:p w:rsidR="00782989" w:rsidRPr="00782989" w:rsidRDefault="005E005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Главн</w:t>
      </w:r>
      <w:r w:rsidR="00AF7BC8">
        <w:rPr>
          <w:rFonts w:ascii="PF Din Text Cond Pro Light" w:eastAsia="Calibri" w:hAnsi="PF Din Text Cond Pro Light" w:cs="PF Din Text Cond Pro Light"/>
          <w:sz w:val="32"/>
          <w:szCs w:val="32"/>
        </w:rPr>
        <w:t>ая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страниц</w:t>
      </w:r>
      <w:r w:rsidR="00AF7BC8">
        <w:rPr>
          <w:rFonts w:ascii="PF Din Text Cond Pro Light" w:eastAsia="Calibri" w:hAnsi="PF Din Text Cond Pro Light" w:cs="PF Din Text Cond Pro Light"/>
          <w:sz w:val="32"/>
          <w:szCs w:val="32"/>
        </w:rPr>
        <w:t>а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/Налогообложение в Российской Федерации/Предоставление налоговой и бухгалтерской отчетности/Шаблоны форм бухгалтерской (финансовой) отчетности</w:t>
      </w:r>
      <w:r w:rsidR="00782989" w:rsidRPr="00782989">
        <w:rPr>
          <w:rFonts w:ascii="PF Din Text Cond Pro Light" w:eastAsia="Calibri" w:hAnsi="PF Din Text Cond Pro Light" w:cs="PF Din Text Cond Pro Light"/>
          <w:sz w:val="32"/>
          <w:szCs w:val="32"/>
        </w:rPr>
        <w:t>.</w:t>
      </w: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  <w:lang w:val="en-US"/>
        </w:rPr>
      </w:pP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1F497D" w:themeColor="text2"/>
          <w:sz w:val="36"/>
          <w:szCs w:val="36"/>
        </w:rPr>
      </w:pPr>
      <w:r w:rsidRPr="00AE028F">
        <w:rPr>
          <w:rFonts w:ascii="PF Din Text Cond Pro Light" w:eastAsia="Calibri" w:hAnsi="PF Din Text Cond Pro Light" w:cs="PF Din Text Cond Pro Light"/>
          <w:b/>
          <w:color w:val="1F497D" w:themeColor="text2"/>
          <w:sz w:val="36"/>
          <w:szCs w:val="36"/>
        </w:rPr>
        <w:t>ФОРМЫ ГОДОВОЙ, КВАРТАЛЬНОЙ БУХГАЛТЕРСКОЙ ОТЧЕТНОСТИ ГОСУДАРСТВЕННЫХ (МУНИЦИПАЛЬНЫХ) БЮДЖЕТНЫХ И АВТОНОМНЫХ УЧРЕЖДЕНИЙ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color w:val="0070C0"/>
          <w:sz w:val="28"/>
          <w:szCs w:val="28"/>
        </w:rPr>
      </w:pPr>
    </w:p>
    <w:p w:rsidR="00782989" w:rsidRDefault="00782989" w:rsidP="00782989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Обращаем внимание на формирование форм бухгалтерской отчетности по КНД: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0503721- Отчет о финансовых результатах деятельности учреждения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0503730 - Баланс государственного (муниципального учреждения)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0503737 - Отчёт об исполнении учреждением его финансово-хозяйственной деятельности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0503769 – Сведения по дебиторской и кредиторской задолженности учреждения 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0503779 - Сведения об остатках денежных средств учреждения </w:t>
      </w:r>
    </w:p>
    <w:p w:rsidR="00782989" w:rsidRPr="00AE028F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AE028F">
        <w:rPr>
          <w:rFonts w:ascii="PF Din Text Cond Pro Light" w:eastAsia="Calibri" w:hAnsi="PF Din Text Cond Pro Light" w:cs="PF Din Text Cond Pro Light"/>
          <w:sz w:val="32"/>
          <w:szCs w:val="32"/>
        </w:rPr>
        <w:t>0503830 - Разделительный (ликвидационный баланс государственного (муниципального учреждения))</w:t>
      </w: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CE73DA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в электронном виде в соответствии с приказом Минфина от 27 марта 2015 г. </w:t>
      </w: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CE73DA">
        <w:rPr>
          <w:rFonts w:ascii="PF Din Text Cond Pro Light" w:eastAsia="Calibri" w:hAnsi="PF Din Text Cond Pro Light" w:cs="PF Din Text Cond Pro Light"/>
          <w:sz w:val="32"/>
          <w:szCs w:val="32"/>
        </w:rPr>
        <w:t>N ММВ-7-6/126@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.</w:t>
      </w: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Pr="005E005D" w:rsidRDefault="00782989" w:rsidP="00782989">
      <w:pPr>
        <w:pStyle w:val="ConsPlusNormal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На бумажном носителе 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машиночитаем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ые 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форм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ы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в формате TIF, рекомендованн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ФНС России, размещен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ы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на сайте ФГУП ГНИВЦ ФНС России </w:t>
      </w:r>
      <w:hyperlink r:id="rId10" w:history="1"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www.gnivc.ru</w:t>
        </w:r>
      </w:hyperlink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.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, 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в формате PDF, подготовленн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на основании TIF-шаблона ФГУП ГНИВЦ ФНС России и доступн</w:t>
      </w:r>
      <w:r>
        <w:rPr>
          <w:rFonts w:ascii="PF Din Text Cond Pro Light" w:eastAsia="Calibri" w:hAnsi="PF Din Text Cond Pro Light" w:cs="PF Din Text Cond Pro Light"/>
          <w:sz w:val="32"/>
          <w:szCs w:val="32"/>
        </w:rPr>
        <w:t>ые</w:t>
      </w:r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для заполнения в программе </w:t>
      </w:r>
      <w:proofErr w:type="spellStart"/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Adobe</w:t>
      </w:r>
      <w:proofErr w:type="spellEnd"/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</w:t>
      </w:r>
      <w:proofErr w:type="spellStart"/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>Reader</w:t>
      </w:r>
      <w:proofErr w:type="spellEnd"/>
      <w:r w:rsidRPr="005E005D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(программа размещена на сайте www.adobe.com).</w:t>
      </w: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На сайте </w:t>
      </w:r>
      <w:hyperlink r:id="rId11" w:history="1"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www</w:t>
        </w:r>
        <w:r w:rsidRPr="005E005D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.</w:t>
        </w:r>
        <w:proofErr w:type="spellStart"/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nalog</w:t>
        </w:r>
        <w:proofErr w:type="spellEnd"/>
        <w:r w:rsidRPr="005E005D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</w:rPr>
          <w:t>.</w:t>
        </w:r>
        <w:proofErr w:type="spellStart"/>
        <w:r w:rsidRPr="007C23D6">
          <w:rPr>
            <w:rStyle w:val="a3"/>
            <w:rFonts w:ascii="PF Din Text Cond Pro Light" w:eastAsia="Calibri" w:hAnsi="PF Din Text Cond Pro Light" w:cs="PF Din Text Cond Pro Light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имеется возможность скачать формы бухгалтерской (финансовой) отчетности:</w:t>
      </w:r>
    </w:p>
    <w:p w:rsidR="00782989" w:rsidRPr="005E005D" w:rsidRDefault="00782989" w:rsidP="0078298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Главная страница/Налогообложение в Российской Федерации/Предоставление налоговой и бухгалтерской отчетности/Шаблоны форм бухгалтерской (финансовой) отчетности </w:t>
      </w:r>
    </w:p>
    <w:p w:rsidR="005E005D" w:rsidRPr="00782989" w:rsidRDefault="005E005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</w:t>
      </w:r>
    </w:p>
    <w:p w:rsidR="00782989" w:rsidRP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P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782989" w:rsidRPr="00782989" w:rsidRDefault="00782989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sectPr w:rsidR="00782989" w:rsidRPr="00782989" w:rsidSect="00546A8B">
      <w:headerReference w:type="default" r:id="rId12"/>
      <w:footerReference w:type="defaul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5D" w:rsidRDefault="005E005D">
      <w:r>
        <w:separator/>
      </w:r>
    </w:p>
  </w:endnote>
  <w:endnote w:type="continuationSeparator" w:id="0">
    <w:p w:rsidR="005E005D" w:rsidRDefault="005E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E005D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E005D" w:rsidRPr="00AF7BC8" w:rsidRDefault="005E005D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</w:t>
          </w:r>
          <w:r w:rsidR="00AF7BC8">
            <w:rPr>
              <w:rFonts w:ascii="PF Din Text Cond Pro Light" w:hAnsi="PF Din Text Cond Pro Light"/>
              <w:b/>
              <w:color w:val="FFFFFF"/>
            </w:rPr>
            <w:t xml:space="preserve">, </w:t>
          </w:r>
          <w:r w:rsidR="00AF7BC8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="00AF7BC8"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AF7BC8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="00AF7BC8"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AF7BC8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E005D" w:rsidRDefault="005E0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5D" w:rsidRDefault="005E005D">
      <w:r>
        <w:separator/>
      </w:r>
    </w:p>
  </w:footnote>
  <w:footnote w:type="continuationSeparator" w:id="0">
    <w:p w:rsidR="005E005D" w:rsidRDefault="005E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5D" w:rsidRDefault="005E005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E005D" w:rsidRDefault="005E005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E005D" w:rsidRPr="007A28BB" w:rsidRDefault="005E005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E005D" w:rsidRDefault="005E005D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68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0933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5E005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2989"/>
    <w:rsid w:val="00787AB9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028F"/>
    <w:rsid w:val="00AE3FA1"/>
    <w:rsid w:val="00AF30B6"/>
    <w:rsid w:val="00AF7BC8"/>
    <w:rsid w:val="00B0096D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3DA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0430E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ni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3353-D977-43ED-87EA-8B3E0D1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2016-02-02T09:06:00Z</dcterms:created>
  <dcterms:modified xsi:type="dcterms:W3CDTF">2016-02-02T09:06:00Z</dcterms:modified>
</cp:coreProperties>
</file>