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1C96">
        <w:rPr>
          <w:rFonts w:ascii="Times New Roman" w:hAnsi="Times New Roman" w:cs="Times New Roman"/>
          <w:sz w:val="28"/>
          <w:szCs w:val="28"/>
        </w:rPr>
        <w:t>Информация о результатах муниципального земельного контроля в 2018г.</w:t>
      </w:r>
    </w:p>
    <w:bookmarkEnd w:id="0"/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Комитетом по управлению имуществом и земельным отношениям Сосновского муниципального района (далее Комитетом) в 2018 году было запланировано проведение 3 плановых проверок юридических лиц. Во исполнение плана Комитетом проведена проверка ООО НПО «Сад и огород», в результате которой нарушений земельного законодательства не выявлено.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Две плановые проверки не проведены по следующим причинам: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проверка ООО «Аква-Экология» не была проведена по причине прекращения деятельности юридического лица в связи с исключением из Единого государственного реестра юридических лиц на основании п.2 ст. 21.1 Федерального закона от 08.08.2001г. № 129-ФЗ «О государственной регистрации юридических лиц и индивидуальных предпринимателей»;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проверка ООО «Дельта» - ввиду отсутствия возможности надлежащего уведомления о проверке, а также отсутствия руководителя Общества или иного уполномоченного представителя юридического лица (составлен акт о невозможности проведения проверки).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Проверки соблюдения требований земельного законодательства физическими лицами в 2018 г. Комитетом не планировались.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Также в 2018 г. Комитетом проведено 6 внеплановых проверок физических лиц по соблюдению требований земельного законодательства, из которых по результатам 5 проверок нарушений не выявлено, при проведении одной проверки выявлено нарушение земельного законодательства и выдано предписание об устранении данного нарушения (устранено нарушителем в указанный срок).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Отчет по исполнению земельного контроля за использованием земель за 9 месяцев 2020 года 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lastRenderedPageBreak/>
        <w:t>В соответствии с Положением о Комитете по управлению имуществом и земельным отношениям Сосновского муниципального района (далее – Комитет) полномочия по осуществлению муниципального земельного контроля на территории Сосновского района возложены на отдел по земельным отношениям Комитета.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 осуществляется в форме плановых и внеплановых проверок в порядке, установленном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В 2020 году в связи с угрозой распространения в Челябинской области </w:t>
      </w:r>
      <w:proofErr w:type="spellStart"/>
      <w:r w:rsidRPr="005E1C9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E1C96">
        <w:rPr>
          <w:rFonts w:ascii="Times New Roman" w:hAnsi="Times New Roman" w:cs="Times New Roman"/>
          <w:sz w:val="28"/>
          <w:szCs w:val="28"/>
        </w:rPr>
        <w:t xml:space="preserve"> инфекции (СOVID - 2019) и в связи с введением на территории Сосновского района режима повышенной готовности проведение проверок было ограничено.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Исключением проведения внеплановых проверок, является причинение вреда жизни, здоровью граждан, возникновения чрезвычайных ситуаций природного и техногенного характера.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связи с чем, плановые проверки соблюдения требований земельного законодательства на 2020 г. Комитету не согласованы прокуратурой Сосновского района.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На 2021 году прокуратурой Сосновского района согласован ежегодный план проведения плановых проверок. Всего запланировано 7 проверок в отношении следующих юридических лиц: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 ООО «</w:t>
      </w:r>
      <w:proofErr w:type="spellStart"/>
      <w:r w:rsidRPr="005E1C96">
        <w:rPr>
          <w:rFonts w:ascii="Times New Roman" w:hAnsi="Times New Roman" w:cs="Times New Roman"/>
          <w:sz w:val="28"/>
          <w:szCs w:val="28"/>
        </w:rPr>
        <w:t>Политопливные</w:t>
      </w:r>
      <w:proofErr w:type="spellEnd"/>
      <w:r w:rsidRPr="005E1C96">
        <w:rPr>
          <w:rFonts w:ascii="Times New Roman" w:hAnsi="Times New Roman" w:cs="Times New Roman"/>
          <w:sz w:val="28"/>
          <w:szCs w:val="28"/>
        </w:rPr>
        <w:t xml:space="preserve"> системы»,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 ООО Рыбопитомник «Шершни»,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 ООО «</w:t>
      </w:r>
      <w:proofErr w:type="spellStart"/>
      <w:r w:rsidRPr="005E1C96">
        <w:rPr>
          <w:rFonts w:ascii="Times New Roman" w:hAnsi="Times New Roman" w:cs="Times New Roman"/>
          <w:sz w:val="28"/>
          <w:szCs w:val="28"/>
        </w:rPr>
        <w:t>Римарш</w:t>
      </w:r>
      <w:proofErr w:type="spellEnd"/>
      <w:r w:rsidRPr="005E1C96">
        <w:rPr>
          <w:rFonts w:ascii="Times New Roman" w:hAnsi="Times New Roman" w:cs="Times New Roman"/>
          <w:sz w:val="28"/>
          <w:szCs w:val="28"/>
        </w:rPr>
        <w:t>»,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 ООО «Челябинский плодовый питомник»,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lastRenderedPageBreak/>
        <w:t>-  ООО «Уральская каолиновая компания»,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 ООО «Прямые инвестиции»,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 ООО «Доступное жилье».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настоящее время план проведения проверок соблюдения требований земельного законодательства в отношении гражданами на 2021 г. в стадии формирования.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До введения ограничений Комитетом было проведено 8 внеплановых проверок в отношении граждан.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отношении 5 проверок нарушений не выявлено.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Результаты 3 проверок направлены на рассмотрение в отдел государственного земельного контроля Управления </w:t>
      </w:r>
      <w:proofErr w:type="spellStart"/>
      <w:r w:rsidRPr="005E1C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1C96">
        <w:rPr>
          <w:rFonts w:ascii="Times New Roman" w:hAnsi="Times New Roman" w:cs="Times New Roman"/>
          <w:sz w:val="28"/>
          <w:szCs w:val="28"/>
        </w:rPr>
        <w:t xml:space="preserve"> по Челябинской области. В отношении 2 проверок рассмотрение было прекращено в виду отсутствия состава административного правонарушения.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В отношении 1 гражданина возбуждено дело об административном правонарушении в части нецелевого использования земельного участка. </w:t>
      </w:r>
      <w:proofErr w:type="gramStart"/>
      <w:r w:rsidRPr="005E1C96">
        <w:rPr>
          <w:rFonts w:ascii="Times New Roman" w:hAnsi="Times New Roman" w:cs="Times New Roman"/>
          <w:sz w:val="28"/>
          <w:szCs w:val="28"/>
        </w:rPr>
        <w:t>Земельный участок</w:t>
      </w:r>
      <w:proofErr w:type="gramEnd"/>
      <w:r w:rsidRPr="005E1C96">
        <w:rPr>
          <w:rFonts w:ascii="Times New Roman" w:hAnsi="Times New Roman" w:cs="Times New Roman"/>
          <w:sz w:val="28"/>
          <w:szCs w:val="28"/>
        </w:rPr>
        <w:t xml:space="preserve"> предназначенный для ведения личного подсобного хозяйства использовался для размещения автостоянки.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Работа по муниципальной программе «Программа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2020 год и планируемый период 2021 - 2022 гг.»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от 12.03.2020 № 311, утверждена муниципальная программа «Программа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2020 год и планируемый период 2021 - 2022 гг.».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Комитетом осуществляет следующие виды и формы профилактических мероприятий: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www.chelsosna.ru перечня нормативно- правовых актов или </w:t>
      </w:r>
      <w:proofErr w:type="gramStart"/>
      <w:r w:rsidRPr="005E1C96">
        <w:rPr>
          <w:rFonts w:ascii="Times New Roman" w:hAnsi="Times New Roman" w:cs="Times New Roman"/>
          <w:sz w:val="28"/>
          <w:szCs w:val="28"/>
        </w:rPr>
        <w:t>их отдельных частей</w:t>
      </w:r>
      <w:proofErr w:type="gramEnd"/>
      <w:r w:rsidRPr="005E1C96">
        <w:rPr>
          <w:rFonts w:ascii="Times New Roman" w:hAnsi="Times New Roman" w:cs="Times New Roman"/>
          <w:sz w:val="28"/>
          <w:szCs w:val="28"/>
        </w:rPr>
        <w:t xml:space="preserve"> содержащих требования, оценка соблюдения которых является предметом муниципального контроля, а также текстов соответствующих нормативно- правовых актов;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- осуществляется информирование юридических лиц и индивидуальных предпринимателей по вопросам соблюдения требований земельного </w:t>
      </w:r>
      <w:r w:rsidRPr="005E1C96">
        <w:rPr>
          <w:rFonts w:ascii="Times New Roman" w:hAnsi="Times New Roman" w:cs="Times New Roman"/>
          <w:sz w:val="28"/>
          <w:szCs w:val="28"/>
        </w:rPr>
        <w:lastRenderedPageBreak/>
        <w:t>законодательства. В отчетный период в средствах массовой информации размещено 4 статьи для землепользователей.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Также проводится регулярная разъяснительная работа с правообладателями земельных участков по вопросам соблюдения требований земельного законодательства посредством устного консультирования и письменных ответов на поступающие запросы.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В результате мероприятий по осуществлению муниципального земельного контроля часто выявляется такое нарушение, как использование собственниками или арендаторами земельных участков не по целевому назначению. Указанный вид нарушения встречается и в частном жилом секторе, когда граждане </w:t>
      </w:r>
      <w:proofErr w:type="gramStart"/>
      <w:r w:rsidRPr="005E1C96">
        <w:rPr>
          <w:rFonts w:ascii="Times New Roman" w:hAnsi="Times New Roman" w:cs="Times New Roman"/>
          <w:sz w:val="28"/>
          <w:szCs w:val="28"/>
        </w:rPr>
        <w:t>на землях</w:t>
      </w:r>
      <w:proofErr w:type="gramEnd"/>
      <w:r w:rsidRPr="005E1C96">
        <w:rPr>
          <w:rFonts w:ascii="Times New Roman" w:hAnsi="Times New Roman" w:cs="Times New Roman"/>
          <w:sz w:val="28"/>
          <w:szCs w:val="28"/>
        </w:rPr>
        <w:t xml:space="preserve"> предоставленных для индивидуального жилищного строительства или личного подсобного хозяйства, открывают магазины, станции технического обслуживания автомобилей, шиномонтажные мастерские, автомойки, при этом не изменяя целевого назначения земель и самовольное занятие земельных участков.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рамках программы профилактики правонарушений, Постановлением администрации Сосновского муниципального района от 02.07.2020 № 1035 утвержден административный регламент по исполнению муниципальной функции «Составление и направление Администрацией Сосновского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 рассмотрения администрацией Сосновского муниципального района возражений, поданных юридическим лицом, индивидуальным предпринимателем, гражданином на предостережение о недопустимости нарушения обязательных требований, требований,  установленных муниципальными правовыми актами»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Предостережение направляется в случае, если у администрации Сосновского муниципального района имеются сведения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гражданами,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Предостережения направляются правообладателям земельных участков почтовым отправлением с уведомлением о вручении, где указано о </w:t>
      </w:r>
      <w:r w:rsidRPr="005E1C96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нарушений закона и предложено предпринять действия по устранению нарушений в течении 60 дней с момента получения предостережения о допущенном нарушении и направить в адрес Комитета уведомление об исполнении предостережения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При отсутствии уведомления об исполнении предостережения, при условии в течение 10 дней принимается решение о проведении внеплановой проверки.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отчетный период всего направлено 237 предостережений, из них: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- 64 предостережения выдано по результатам рассмотрения обращений граждан,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- 173 предостережения выдано по результатам проведения рейдовых мероприятий на земельных участках, категории земель – земли сельскохозяйственного назначения.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Рейдовые осмотры земельных участков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2020 году Комитетом разработан и утвержден Постановлением администрации Сосновского муниципального района от 31.07.2020 № 1215 Порядок оформления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Сосновского муниципального района.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июне 2020 года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соответствии вышеуказанным порядком, проведены совместные рейдовые мероприятия с Главным Управлением МЧС России по Челябинской области. В результате был осуществлен осмотр 341 земельного участка из категории земель «земли сельскохозяйственного назначения», на общей площади – 9 260 га. Целью осуществления рейдовых осмотров являлось установление использования земельных участков в соответствии с видом разрешенного использования.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отношении 168 земельного участка нарушений не выявлено.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отношении 173 земельных участков выявлены нарушения в части неиспользования земельных участков, а именно зарастание сорными растениями, порослью деревьев.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Правообладателям 173 земельных участков направлены заказным почтовым отправлением с уведомлением о вручении предостережения о недопустимости нарушения закона и предложено предпринять действия по </w:t>
      </w:r>
      <w:r w:rsidRPr="005E1C96"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нарушений и принять меры по обеспечению соблюдения обязательных требований, установленных законодательством и в течении 60 дней с момента получения предостережения направить в Комитет уведомление об исполнении предостережения. Также правообладателям было сообщено, что при отсутствии с их стороны уведомлений об исполнении предостережения, Комитетом в течение 10 дней будет принято решение о проведении внеплановой проверки.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По итогам направленных 173 предостережений установлено, что в отношении 2 земельных участков собственниками нарушения устранены.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76 предостережений не были получены собственниками земельных участков. В связи с чем Комитетом готовиться повторное направление предостережений о недопустимости нарушения закона.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95 предостережений были получены правообладателями земельных участков, срок исполнений предостережений установлен в ноябре 2020 г.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Обследование земельных участков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Комитет задач и функций специалистом по муниципальному земельному контролю проведено обследование 61 земельного участка на территории Сосновского района.  </w:t>
      </w:r>
    </w:p>
    <w:p w:rsidR="005E1C96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Задачей обследования земельных участков являлось установление наличия зданий, строений, сооружений при продаже земельных участков с аукциона.</w:t>
      </w:r>
    </w:p>
    <w:p w:rsidR="000A4D9B" w:rsidRPr="005E1C96" w:rsidRDefault="005E1C96" w:rsidP="005E1C96">
      <w:pPr>
        <w:rPr>
          <w:rFonts w:ascii="Times New Roman" w:hAnsi="Times New Roman" w:cs="Times New Roman"/>
          <w:sz w:val="28"/>
          <w:szCs w:val="28"/>
        </w:rPr>
      </w:pPr>
      <w:r w:rsidRPr="005E1C96">
        <w:rPr>
          <w:rFonts w:ascii="Times New Roman" w:hAnsi="Times New Roman" w:cs="Times New Roman"/>
          <w:sz w:val="28"/>
          <w:szCs w:val="28"/>
        </w:rPr>
        <w:t>В рамках работы по рассмотрению обращений граждан в соответствии с Федеральным законом от 2 мая 2006 года N 59-ФЗ «О порядке рассмотрения обращений граждан Российской Федерации» рассмотрено 117 обращений граждан. По результатам рассмотрения обращений, гражданам были даны разъяснения законодательства.</w:t>
      </w:r>
    </w:p>
    <w:sectPr w:rsidR="000A4D9B" w:rsidRPr="005E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C"/>
    <w:rsid w:val="003F275F"/>
    <w:rsid w:val="005E1C96"/>
    <w:rsid w:val="00D6789C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AC78"/>
  <w15:chartTrackingRefBased/>
  <w15:docId w15:val="{AF8AA13F-8FB6-40DF-B4AE-1AA0E7F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2022-03-03T09:08:00Z</dcterms:created>
  <dcterms:modified xsi:type="dcterms:W3CDTF">2022-03-04T04:37:00Z</dcterms:modified>
</cp:coreProperties>
</file>