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66" w:rsidRPr="00936C66" w:rsidRDefault="00936C66" w:rsidP="00936C66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93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                </w:t>
      </w:r>
    </w:p>
    <w:p w:rsidR="00F04279" w:rsidRPr="00F04279" w:rsidRDefault="00F04279" w:rsidP="00F04279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93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противодействия коррупции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109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29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04279" w:rsidRPr="00FF1321" w:rsidRDefault="00F04279" w:rsidP="00F04279">
      <w:pPr>
        <w:shd w:val="clear" w:color="auto" w:fill="FBFBFB"/>
        <w:spacing w:after="290" w:line="240" w:lineRule="auto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Контрольно-счетной палаты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  <w:r w:rsidRPr="00F04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2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429D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72DE0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 20</w:t>
      </w:r>
      <w:r w:rsidR="00A109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29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C429DF">
        <w:rPr>
          <w:rFonts w:ascii="Times New Roman" w:eastAsia="Times New Roman" w:hAnsi="Times New Roman" w:cs="Times New Roman"/>
          <w:sz w:val="28"/>
          <w:szCs w:val="28"/>
          <w:lang w:eastAsia="ru-RU"/>
        </w:rPr>
        <w:t>2/1</w:t>
      </w:r>
    </w:p>
    <w:tbl>
      <w:tblPr>
        <w:tblW w:w="10915" w:type="dxa"/>
        <w:tblInd w:w="-1059" w:type="dxa"/>
        <w:tblBorders>
          <w:top w:val="single" w:sz="6" w:space="0" w:color="DDDAD7"/>
          <w:left w:val="single" w:sz="6" w:space="0" w:color="DDDAD7"/>
          <w:bottom w:val="single" w:sz="6" w:space="0" w:color="DDDAD7"/>
          <w:right w:val="single" w:sz="6" w:space="0" w:color="DDDA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1984"/>
      </w:tblGrid>
      <w:tr w:rsidR="00070AE6" w:rsidRPr="00F04279" w:rsidTr="006150BF">
        <w:trPr>
          <w:tblHeader/>
        </w:trPr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признаков коррупции в результате осуществления контрольной деятельности Контрольно-счетной палатой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Сосновского муниципального района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</w:t>
            </w:r>
            <w:bookmarkStart w:id="0" w:name="_GoBack"/>
            <w:bookmarkEnd w:id="0"/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ении контрольных и экспертно-аналитических мероприятий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анизационных, распорядительных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 Контрольно-счетной палаты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на предмет коррупционных рисков с анализом выявленных </w:t>
            </w:r>
            <w:proofErr w:type="spellStart"/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и нарушений в финансово-бюджетной сфере по резу</w:t>
            </w:r>
            <w:r w:rsidR="00A1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льтатам контрольных и экспертно-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аналитических мероприятий, проводимых Контрольно-счетной палатой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заявлений и обращений граждан на предмет наличия информации о коррупционных проявлениях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отчетов по реализации мероприятий, направленных на противодействие коррупции в 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службы администрации Сосновского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70AE6" w:rsidRPr="00F04279" w:rsidTr="00936C66">
        <w:trPr>
          <w:trHeight w:val="1280"/>
        </w:trPr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обработка (анализ) сведений о доходах,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гражданских служащих Контрольно-счетной палаты, их супругов и несовершеннолетних детей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</w:tc>
      </w:tr>
      <w:tr w:rsidR="00070AE6" w:rsidRPr="00F04279" w:rsidTr="00936C66">
        <w:trPr>
          <w:trHeight w:val="305"/>
        </w:trPr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размещение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сведений о доходах,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служащих Контрольно-счетной палаты на официальном сайте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законодательством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проверок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муниципальными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служащими Контрольно-счетной палаты запретов, ограничений и требований, установленных в целях противодействия коррупции, в том числе: проверок достоверности и полноты сведений о доходах, об имуществе и обязательствах имущественного характера, представляемых в установленном порядке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законодательством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организационных, разъяснительных и иных мер по реализации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муниципальными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служащими Контрольно-счетной палаты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проведение мероприятий по формированию в Контрольно-счетной палате негативного отношения к дарению подарков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соответствующих мер дисциплинарной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служащих Контрольно-счетной палаты положени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муниципальными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служащими Контрольно-счетной палаты по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муниципальных 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 Контрольно-счетной палаты о необходимости своевременного выполнения обязанности сообщать в установленном порядке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повышения квалификации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="00A1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 Контрольно-</w:t>
            </w: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счетной палаты, в должностные обязанности которых входит профилактика коррупционных и иных правонарушений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соблюдения Этического кодекса сотрудников контрольно-счетных органов Российской Федерации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обеспечение информационной открытости деятельности Контрольно-счетной палаты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F04279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785AC9" w:rsidRPr="00F04279" w:rsidRDefault="00785AC9">
      <w:pPr>
        <w:rPr>
          <w:rFonts w:ascii="Times New Roman" w:hAnsi="Times New Roman" w:cs="Times New Roman"/>
          <w:sz w:val="28"/>
          <w:szCs w:val="28"/>
        </w:rPr>
      </w:pPr>
    </w:p>
    <w:sectPr w:rsidR="00785AC9" w:rsidRPr="00F04279" w:rsidSect="00936C6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79"/>
    <w:rsid w:val="00070AE6"/>
    <w:rsid w:val="002C00A3"/>
    <w:rsid w:val="00390A67"/>
    <w:rsid w:val="003B1549"/>
    <w:rsid w:val="004608D0"/>
    <w:rsid w:val="004A2616"/>
    <w:rsid w:val="00597071"/>
    <w:rsid w:val="006150BF"/>
    <w:rsid w:val="00672DE0"/>
    <w:rsid w:val="00785AC9"/>
    <w:rsid w:val="00936C66"/>
    <w:rsid w:val="00A109E6"/>
    <w:rsid w:val="00C429DF"/>
    <w:rsid w:val="00F04279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67BE"/>
  <w15:docId w15:val="{EF4ACFFB-2128-4060-AD69-53C7A93D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C9"/>
  </w:style>
  <w:style w:type="paragraph" w:styleId="2">
    <w:name w:val="heading 2"/>
    <w:basedOn w:val="a"/>
    <w:link w:val="20"/>
    <w:uiPriority w:val="9"/>
    <w:qFormat/>
    <w:rsid w:val="00F04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0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4" w:color="DDDAD7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kornienkotb</dc:creator>
  <cp:lastModifiedBy>Тимербулатова Альбина Анатольевна</cp:lastModifiedBy>
  <cp:revision>5</cp:revision>
  <cp:lastPrinted>2019-05-16T10:45:00Z</cp:lastPrinted>
  <dcterms:created xsi:type="dcterms:W3CDTF">2020-12-22T10:20:00Z</dcterms:created>
  <dcterms:modified xsi:type="dcterms:W3CDTF">2021-05-27T09:36:00Z</dcterms:modified>
</cp:coreProperties>
</file>