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61" w:rsidRPr="00C72A61" w:rsidRDefault="00C72A61" w:rsidP="00C72A61">
      <w:pPr>
        <w:pStyle w:val="a3"/>
        <w:ind w:firstLine="1134"/>
        <w:rPr>
          <w:rFonts w:ascii="Times New Roman" w:hAnsi="Times New Roman" w:cs="Times New Roman"/>
          <w:b/>
          <w:sz w:val="24"/>
          <w:szCs w:val="24"/>
        </w:rPr>
      </w:pPr>
      <w:bookmarkStart w:id="0" w:name="_GoBack"/>
      <w:bookmarkEnd w:id="0"/>
      <w:r w:rsidRPr="00C72A61">
        <w:rPr>
          <w:rFonts w:ascii="Times New Roman" w:hAnsi="Times New Roman" w:cs="Times New Roman"/>
          <w:b/>
          <w:sz w:val="24"/>
          <w:szCs w:val="24"/>
        </w:rPr>
        <w:t xml:space="preserve">Выручка </w:t>
      </w:r>
      <w:proofErr w:type="spellStart"/>
      <w:r w:rsidRPr="00C72A61">
        <w:rPr>
          <w:rFonts w:ascii="Times New Roman" w:hAnsi="Times New Roman" w:cs="Times New Roman"/>
          <w:b/>
          <w:sz w:val="24"/>
          <w:szCs w:val="24"/>
        </w:rPr>
        <w:t>самозанятых</w:t>
      </w:r>
      <w:proofErr w:type="spellEnd"/>
      <w:r w:rsidRPr="00C72A61">
        <w:rPr>
          <w:rFonts w:ascii="Times New Roman" w:hAnsi="Times New Roman" w:cs="Times New Roman"/>
          <w:b/>
          <w:sz w:val="24"/>
          <w:szCs w:val="24"/>
        </w:rPr>
        <w:t xml:space="preserve"> в интернете выросла в 11 раз</w:t>
      </w:r>
    </w:p>
    <w:p w:rsidR="00531EA4" w:rsidRPr="00E17A43" w:rsidRDefault="0060763F" w:rsidP="00531EA4">
      <w:pPr>
        <w:pStyle w:val="a3"/>
        <w:ind w:firstLine="1134"/>
        <w:rPr>
          <w:rFonts w:ascii="Times New Roman" w:hAnsi="Times New Roman" w:cs="Times New Roman"/>
          <w:sz w:val="24"/>
          <w:szCs w:val="24"/>
        </w:rPr>
      </w:pPr>
      <w:hyperlink r:id="rId4" w:history="1">
        <w:r w:rsidR="00C72A61" w:rsidRPr="00B32B3A">
          <w:rPr>
            <w:rStyle w:val="a5"/>
            <w:rFonts w:ascii="Times New Roman" w:hAnsi="Times New Roman" w:cs="Times New Roman"/>
            <w:sz w:val="24"/>
            <w:szCs w:val="24"/>
          </w:rPr>
          <w:t>https://iz.ru/1113938/ekaterina-vinogradova-artur-arutiunov/na-sebe-pokazyvaiut-vyruchka-samozaniatykh-v-internete-vyrosla-v-11-raz</w:t>
        </w:r>
      </w:hyperlink>
      <w:r w:rsidR="00C72A61">
        <w:rPr>
          <w:rFonts w:ascii="Times New Roman" w:hAnsi="Times New Roman" w:cs="Times New Roman"/>
          <w:sz w:val="24"/>
          <w:szCs w:val="24"/>
        </w:rPr>
        <w:t xml:space="preserve"> </w:t>
      </w:r>
    </w:p>
    <w:p w:rsidR="00C72A61" w:rsidRDefault="00531EA4" w:rsidP="00531EA4">
      <w:pPr>
        <w:pStyle w:val="a3"/>
        <w:ind w:firstLine="1134"/>
        <w:rPr>
          <w:rFonts w:ascii="Times New Roman" w:hAnsi="Times New Roman" w:cs="Times New Roman"/>
          <w:sz w:val="24"/>
          <w:szCs w:val="24"/>
        </w:rPr>
      </w:pPr>
      <w:r w:rsidRPr="00E17A43">
        <w:rPr>
          <w:rFonts w:ascii="Times New Roman" w:hAnsi="Times New Roman" w:cs="Times New Roman"/>
          <w:sz w:val="24"/>
          <w:szCs w:val="24"/>
        </w:rPr>
        <w:t xml:space="preserve">Пандемия ускорила </w:t>
      </w:r>
      <w:proofErr w:type="spellStart"/>
      <w:r w:rsidRPr="00E17A43">
        <w:rPr>
          <w:rFonts w:ascii="Times New Roman" w:hAnsi="Times New Roman" w:cs="Times New Roman"/>
          <w:sz w:val="24"/>
          <w:szCs w:val="24"/>
        </w:rPr>
        <w:t>цифровизацию</w:t>
      </w:r>
      <w:proofErr w:type="spellEnd"/>
      <w:r w:rsidRPr="00E17A43">
        <w:rPr>
          <w:rFonts w:ascii="Times New Roman" w:hAnsi="Times New Roman" w:cs="Times New Roman"/>
          <w:sz w:val="24"/>
          <w:szCs w:val="24"/>
        </w:rPr>
        <w:t xml:space="preserve"> бизнеса, и одними из бенефициаров этого стали </w:t>
      </w:r>
      <w:proofErr w:type="spellStart"/>
      <w:r w:rsidRPr="00E17A43">
        <w:rPr>
          <w:rFonts w:ascii="Times New Roman" w:hAnsi="Times New Roman" w:cs="Times New Roman"/>
          <w:sz w:val="24"/>
          <w:szCs w:val="24"/>
        </w:rPr>
        <w:t>самозанятые</w:t>
      </w:r>
      <w:proofErr w:type="spellEnd"/>
      <w:r w:rsidRPr="00E17A43">
        <w:rPr>
          <w:rFonts w:ascii="Times New Roman" w:hAnsi="Times New Roman" w:cs="Times New Roman"/>
          <w:sz w:val="24"/>
          <w:szCs w:val="24"/>
        </w:rPr>
        <w:t xml:space="preserve">: выручка работающих на себя от продажи товаров и услуг в Сети выросла почти в 11 раз по итогам 2020 года. Об этом «Известиям» сообщили в </w:t>
      </w:r>
      <w:proofErr w:type="spellStart"/>
      <w:r w:rsidRPr="00E17A43">
        <w:rPr>
          <w:rFonts w:ascii="Times New Roman" w:hAnsi="Times New Roman" w:cs="Times New Roman"/>
          <w:sz w:val="24"/>
          <w:szCs w:val="24"/>
        </w:rPr>
        <w:t>ЮKassa</w:t>
      </w:r>
      <w:proofErr w:type="spellEnd"/>
      <w:r w:rsidRPr="00E17A43">
        <w:rPr>
          <w:rFonts w:ascii="Times New Roman" w:hAnsi="Times New Roman" w:cs="Times New Roman"/>
          <w:sz w:val="24"/>
          <w:szCs w:val="24"/>
        </w:rPr>
        <w:t xml:space="preserve"> (группа «</w:t>
      </w:r>
      <w:proofErr w:type="spellStart"/>
      <w:r w:rsidRPr="00E17A43">
        <w:rPr>
          <w:rFonts w:ascii="Times New Roman" w:hAnsi="Times New Roman" w:cs="Times New Roman"/>
          <w:sz w:val="24"/>
          <w:szCs w:val="24"/>
        </w:rPr>
        <w:t>Сбера</w:t>
      </w:r>
      <w:proofErr w:type="spellEnd"/>
      <w:r w:rsidRPr="00E17A43">
        <w:rPr>
          <w:rFonts w:ascii="Times New Roman" w:hAnsi="Times New Roman" w:cs="Times New Roman"/>
          <w:sz w:val="24"/>
          <w:szCs w:val="24"/>
        </w:rPr>
        <w:t xml:space="preserve">»). </w:t>
      </w:r>
    </w:p>
    <w:p w:rsidR="00531EA4" w:rsidRPr="00E17A43" w:rsidRDefault="00C72A61" w:rsidP="00531EA4">
      <w:pPr>
        <w:pStyle w:val="a3"/>
        <w:ind w:firstLine="1134"/>
        <w:rPr>
          <w:rFonts w:ascii="Times New Roman" w:hAnsi="Times New Roman" w:cs="Times New Roman"/>
          <w:sz w:val="24"/>
          <w:szCs w:val="24"/>
        </w:rPr>
      </w:pPr>
      <w:r>
        <w:rPr>
          <w:rFonts w:ascii="Times New Roman" w:hAnsi="Times New Roman" w:cs="Times New Roman"/>
          <w:sz w:val="24"/>
          <w:szCs w:val="24"/>
        </w:rPr>
        <w:t>В</w:t>
      </w:r>
      <w:r w:rsidR="00531EA4" w:rsidRPr="00E17A43">
        <w:rPr>
          <w:rFonts w:ascii="Times New Roman" w:hAnsi="Times New Roman" w:cs="Times New Roman"/>
          <w:sz w:val="24"/>
          <w:szCs w:val="24"/>
        </w:rPr>
        <w:t xml:space="preserve"> 2020 году число принимающих онлайн-платежи </w:t>
      </w:r>
      <w:proofErr w:type="spellStart"/>
      <w:r w:rsidR="00531EA4" w:rsidRPr="00E17A43">
        <w:rPr>
          <w:rFonts w:ascii="Times New Roman" w:hAnsi="Times New Roman" w:cs="Times New Roman"/>
          <w:sz w:val="24"/>
          <w:szCs w:val="24"/>
        </w:rPr>
        <w:t>самозанятых</w:t>
      </w:r>
      <w:proofErr w:type="spellEnd"/>
      <w:r w:rsidR="00531EA4" w:rsidRPr="00E17A43">
        <w:rPr>
          <w:rFonts w:ascii="Times New Roman" w:hAnsi="Times New Roman" w:cs="Times New Roman"/>
          <w:sz w:val="24"/>
          <w:szCs w:val="24"/>
        </w:rPr>
        <w:t xml:space="preserve"> выросло в 6,4 раза, а их оборот увеличился в 10,6 раза по сравнению с 2019-м, выяснили аналитики. Число покупок тоже показало позитивную динамику — их стало больше в 9,7 раза.</w:t>
      </w:r>
    </w:p>
    <w:p w:rsidR="00531EA4" w:rsidRPr="00E17A43" w:rsidRDefault="00531EA4" w:rsidP="00531EA4">
      <w:pPr>
        <w:pStyle w:val="a3"/>
        <w:ind w:firstLine="1134"/>
        <w:rPr>
          <w:rFonts w:ascii="Times New Roman" w:hAnsi="Times New Roman" w:cs="Times New Roman"/>
          <w:sz w:val="24"/>
          <w:szCs w:val="24"/>
        </w:rPr>
      </w:pPr>
      <w:r w:rsidRPr="00E17A43">
        <w:rPr>
          <w:rFonts w:ascii="Times New Roman" w:hAnsi="Times New Roman" w:cs="Times New Roman"/>
          <w:sz w:val="24"/>
          <w:szCs w:val="24"/>
        </w:rPr>
        <w:t xml:space="preserve">Сильнее всего выручка выросла у </w:t>
      </w:r>
      <w:proofErr w:type="spellStart"/>
      <w:r w:rsidRPr="00E17A43">
        <w:rPr>
          <w:rFonts w:ascii="Times New Roman" w:hAnsi="Times New Roman" w:cs="Times New Roman"/>
          <w:sz w:val="24"/>
          <w:szCs w:val="24"/>
        </w:rPr>
        <w:t>самозанятых</w:t>
      </w:r>
      <w:proofErr w:type="spellEnd"/>
      <w:r w:rsidRPr="00E17A43">
        <w:rPr>
          <w:rFonts w:ascii="Times New Roman" w:hAnsi="Times New Roman" w:cs="Times New Roman"/>
          <w:sz w:val="24"/>
          <w:szCs w:val="24"/>
        </w:rPr>
        <w:t xml:space="preserve">, продающих в интернете одежду и обувь, — в 38 раз. На втором месте оказались поставщики аудио- и </w:t>
      </w:r>
      <w:proofErr w:type="spellStart"/>
      <w:r w:rsidRPr="00E17A43">
        <w:rPr>
          <w:rFonts w:ascii="Times New Roman" w:hAnsi="Times New Roman" w:cs="Times New Roman"/>
          <w:sz w:val="24"/>
          <w:szCs w:val="24"/>
        </w:rPr>
        <w:t>видеоконтента</w:t>
      </w:r>
      <w:proofErr w:type="spellEnd"/>
      <w:r w:rsidRPr="00E17A43">
        <w:rPr>
          <w:rFonts w:ascii="Times New Roman" w:hAnsi="Times New Roman" w:cs="Times New Roman"/>
          <w:sz w:val="24"/>
          <w:szCs w:val="24"/>
        </w:rPr>
        <w:t xml:space="preserve"> — им удалось увеличить оборот онлайн-платежей в 20 раз. Большим спросом пользовались и образовательные услуги: доход </w:t>
      </w:r>
      <w:proofErr w:type="spellStart"/>
      <w:r w:rsidRPr="00E17A43">
        <w:rPr>
          <w:rFonts w:ascii="Times New Roman" w:hAnsi="Times New Roman" w:cs="Times New Roman"/>
          <w:sz w:val="24"/>
          <w:szCs w:val="24"/>
        </w:rPr>
        <w:t>самозанятых</w:t>
      </w:r>
      <w:proofErr w:type="spellEnd"/>
      <w:r w:rsidRPr="00E17A43">
        <w:rPr>
          <w:rFonts w:ascii="Times New Roman" w:hAnsi="Times New Roman" w:cs="Times New Roman"/>
          <w:sz w:val="24"/>
          <w:szCs w:val="24"/>
        </w:rPr>
        <w:t xml:space="preserve">, которые на них специализируются, вырос в 11 раз. Почти в восемь раз больше через интернет заработали продавцы сувениров и товаров для хобби, а также те </w:t>
      </w:r>
      <w:proofErr w:type="spellStart"/>
      <w:r w:rsidRPr="00E17A43">
        <w:rPr>
          <w:rFonts w:ascii="Times New Roman" w:hAnsi="Times New Roman" w:cs="Times New Roman"/>
          <w:sz w:val="24"/>
          <w:szCs w:val="24"/>
        </w:rPr>
        <w:t>самозанятые</w:t>
      </w:r>
      <w:proofErr w:type="spellEnd"/>
      <w:r w:rsidRPr="00E17A43">
        <w:rPr>
          <w:rFonts w:ascii="Times New Roman" w:hAnsi="Times New Roman" w:cs="Times New Roman"/>
          <w:sz w:val="24"/>
          <w:szCs w:val="24"/>
        </w:rPr>
        <w:t>, которые оказывают персональные услуги.</w:t>
      </w:r>
    </w:p>
    <w:p w:rsidR="00531EA4" w:rsidRPr="00E17A43" w:rsidRDefault="00531EA4" w:rsidP="00531EA4">
      <w:pPr>
        <w:pStyle w:val="a3"/>
        <w:ind w:firstLine="1134"/>
        <w:rPr>
          <w:rFonts w:ascii="Times New Roman" w:hAnsi="Times New Roman" w:cs="Times New Roman"/>
          <w:sz w:val="24"/>
          <w:szCs w:val="24"/>
        </w:rPr>
      </w:pPr>
      <w:r w:rsidRPr="00E17A43">
        <w:rPr>
          <w:rFonts w:ascii="Times New Roman" w:hAnsi="Times New Roman" w:cs="Times New Roman"/>
          <w:sz w:val="24"/>
          <w:szCs w:val="24"/>
        </w:rPr>
        <w:t xml:space="preserve">При этом самый большой средний чек онлайн-покупки был зафиксирован у товаров для дома и сада, произведенных </w:t>
      </w:r>
      <w:proofErr w:type="spellStart"/>
      <w:r w:rsidRPr="00E17A43">
        <w:rPr>
          <w:rFonts w:ascii="Times New Roman" w:hAnsi="Times New Roman" w:cs="Times New Roman"/>
          <w:sz w:val="24"/>
          <w:szCs w:val="24"/>
        </w:rPr>
        <w:t>самозанятыми</w:t>
      </w:r>
      <w:proofErr w:type="spellEnd"/>
      <w:r w:rsidRPr="00E17A43">
        <w:rPr>
          <w:rFonts w:ascii="Times New Roman" w:hAnsi="Times New Roman" w:cs="Times New Roman"/>
          <w:sz w:val="24"/>
          <w:szCs w:val="24"/>
        </w:rPr>
        <w:t xml:space="preserve">. Он составил 3687 рублей, что почти в три раза больше прошлогоднего результата, сообщили в </w:t>
      </w:r>
      <w:proofErr w:type="spellStart"/>
      <w:r w:rsidRPr="00E17A43">
        <w:rPr>
          <w:rFonts w:ascii="Times New Roman" w:hAnsi="Times New Roman" w:cs="Times New Roman"/>
          <w:sz w:val="24"/>
          <w:szCs w:val="24"/>
        </w:rPr>
        <w:t>ЮKassa</w:t>
      </w:r>
      <w:proofErr w:type="spellEnd"/>
      <w:r w:rsidRPr="00E17A43">
        <w:rPr>
          <w:rFonts w:ascii="Times New Roman" w:hAnsi="Times New Roman" w:cs="Times New Roman"/>
          <w:sz w:val="24"/>
          <w:szCs w:val="24"/>
        </w:rPr>
        <w:t xml:space="preserve">. Во столько же вырос средний чек у услуг рекламы и продвижения, составив 805 рублей. Заметно увеличился этот показатель и у </w:t>
      </w:r>
      <w:proofErr w:type="spellStart"/>
      <w:r w:rsidRPr="00E17A43">
        <w:rPr>
          <w:rFonts w:ascii="Times New Roman" w:hAnsi="Times New Roman" w:cs="Times New Roman"/>
          <w:sz w:val="24"/>
          <w:szCs w:val="24"/>
        </w:rPr>
        <w:t>самозанятых</w:t>
      </w:r>
      <w:proofErr w:type="spellEnd"/>
      <w:r w:rsidRPr="00E17A43">
        <w:rPr>
          <w:rFonts w:ascii="Times New Roman" w:hAnsi="Times New Roman" w:cs="Times New Roman"/>
          <w:sz w:val="24"/>
          <w:szCs w:val="24"/>
        </w:rPr>
        <w:t>, которые работают в категориях «еда и продукты с доставкой» (в 2,5 раза, до 1895 рублей), «детские товары» (в два раза, до 883 рублей), а также «персональные услуги» (в два раза, до 1320 рублей).</w:t>
      </w:r>
    </w:p>
    <w:p w:rsidR="00531EA4" w:rsidRDefault="00531EA4" w:rsidP="00531EA4">
      <w:pPr>
        <w:pStyle w:val="a3"/>
        <w:ind w:firstLine="1134"/>
        <w:rPr>
          <w:rFonts w:ascii="Times New Roman" w:hAnsi="Times New Roman" w:cs="Times New Roman"/>
          <w:sz w:val="24"/>
          <w:szCs w:val="24"/>
        </w:rPr>
      </w:pPr>
    </w:p>
    <w:p w:rsidR="00C72A61" w:rsidRDefault="00C72A61" w:rsidP="00531EA4">
      <w:pPr>
        <w:pStyle w:val="a3"/>
        <w:ind w:firstLine="1134"/>
        <w:rPr>
          <w:rFonts w:ascii="Times New Roman" w:hAnsi="Times New Roman" w:cs="Times New Roman"/>
          <w:sz w:val="24"/>
          <w:szCs w:val="24"/>
        </w:rPr>
      </w:pPr>
    </w:p>
    <w:p w:rsidR="00C72A61" w:rsidRPr="00C72A61" w:rsidRDefault="00C72A61" w:rsidP="00C72A61">
      <w:pPr>
        <w:pStyle w:val="a3"/>
        <w:ind w:firstLine="1134"/>
        <w:rPr>
          <w:rFonts w:ascii="Times New Roman" w:hAnsi="Times New Roman" w:cs="Times New Roman"/>
          <w:b/>
          <w:sz w:val="24"/>
          <w:szCs w:val="24"/>
        </w:rPr>
      </w:pPr>
      <w:r w:rsidRPr="00C72A61">
        <w:rPr>
          <w:rFonts w:ascii="Times New Roman" w:hAnsi="Times New Roman" w:cs="Times New Roman"/>
          <w:b/>
          <w:sz w:val="24"/>
          <w:szCs w:val="24"/>
        </w:rPr>
        <w:t>Малые предприятия за 2020 год потеряли 2,8 трлн рублей выручки</w:t>
      </w:r>
    </w:p>
    <w:p w:rsidR="00531EA4" w:rsidRPr="00E17A43" w:rsidRDefault="0060763F" w:rsidP="00531EA4">
      <w:pPr>
        <w:pStyle w:val="a3"/>
        <w:ind w:firstLine="1134"/>
        <w:rPr>
          <w:rFonts w:ascii="Times New Roman" w:hAnsi="Times New Roman" w:cs="Times New Roman"/>
          <w:sz w:val="24"/>
          <w:szCs w:val="24"/>
        </w:rPr>
      </w:pPr>
      <w:hyperlink r:id="rId5" w:history="1">
        <w:r w:rsidR="00C72A61" w:rsidRPr="00B32B3A">
          <w:rPr>
            <w:rStyle w:val="a5"/>
            <w:rFonts w:ascii="Times New Roman" w:hAnsi="Times New Roman" w:cs="Times New Roman"/>
            <w:sz w:val="24"/>
            <w:szCs w:val="24"/>
          </w:rPr>
          <w:t>https://iz.ru/1113935/mariia-kolobova/oborot-ne-tuda-malye-predpriiatiia-za-2020-god-poteriali-28-trln-rublei</w:t>
        </w:r>
      </w:hyperlink>
      <w:r w:rsidR="00C72A61">
        <w:rPr>
          <w:rFonts w:ascii="Times New Roman" w:hAnsi="Times New Roman" w:cs="Times New Roman"/>
          <w:sz w:val="24"/>
          <w:szCs w:val="24"/>
        </w:rPr>
        <w:t xml:space="preserve"> </w:t>
      </w:r>
    </w:p>
    <w:p w:rsidR="00531EA4" w:rsidRPr="00E17A43" w:rsidRDefault="00531EA4" w:rsidP="00531EA4">
      <w:pPr>
        <w:pStyle w:val="a3"/>
        <w:ind w:firstLine="1134"/>
        <w:rPr>
          <w:rFonts w:ascii="Times New Roman" w:hAnsi="Times New Roman" w:cs="Times New Roman"/>
          <w:sz w:val="24"/>
          <w:szCs w:val="24"/>
        </w:rPr>
      </w:pPr>
      <w:r w:rsidRPr="00E17A43">
        <w:rPr>
          <w:rFonts w:ascii="Times New Roman" w:hAnsi="Times New Roman" w:cs="Times New Roman"/>
          <w:sz w:val="24"/>
          <w:szCs w:val="24"/>
        </w:rPr>
        <w:t xml:space="preserve">В 2020 году на фоне пандемии оборот малых предприятий упал на 2,8 трлн рублей, </w:t>
      </w:r>
      <w:r w:rsidR="00C72A61" w:rsidRPr="00E17A43">
        <w:rPr>
          <w:rFonts w:ascii="Times New Roman" w:hAnsi="Times New Roman" w:cs="Times New Roman"/>
          <w:sz w:val="24"/>
          <w:szCs w:val="24"/>
        </w:rPr>
        <w:t>говорится в исследовании Национального рейтингового агентства (НРА).</w:t>
      </w:r>
      <w:r w:rsidRPr="00E17A43">
        <w:rPr>
          <w:rFonts w:ascii="Times New Roman" w:hAnsi="Times New Roman" w:cs="Times New Roman"/>
          <w:sz w:val="24"/>
          <w:szCs w:val="24"/>
        </w:rPr>
        <w:t xml:space="preserve"> После снятия ограничительных мер в </w:t>
      </w:r>
      <w:proofErr w:type="spellStart"/>
      <w:r w:rsidRPr="00E17A43">
        <w:rPr>
          <w:rFonts w:ascii="Times New Roman" w:hAnsi="Times New Roman" w:cs="Times New Roman"/>
          <w:sz w:val="24"/>
          <w:szCs w:val="24"/>
        </w:rPr>
        <w:t>lll</w:t>
      </w:r>
      <w:proofErr w:type="spellEnd"/>
      <w:r w:rsidRPr="00E17A43">
        <w:rPr>
          <w:rFonts w:ascii="Times New Roman" w:hAnsi="Times New Roman" w:cs="Times New Roman"/>
          <w:sz w:val="24"/>
          <w:szCs w:val="24"/>
        </w:rPr>
        <w:t xml:space="preserve"> квартале потери бизнеса оказались выше, чем в первом полугодии. Показатели этого периода обусловлены снижением доходов населения и ухудшением ожиданий по длительности пандемии. По данным Росстата, в </w:t>
      </w:r>
      <w:proofErr w:type="spellStart"/>
      <w:r w:rsidRPr="00E17A43">
        <w:rPr>
          <w:rFonts w:ascii="Times New Roman" w:hAnsi="Times New Roman" w:cs="Times New Roman"/>
          <w:sz w:val="24"/>
          <w:szCs w:val="24"/>
        </w:rPr>
        <w:t>lll</w:t>
      </w:r>
      <w:proofErr w:type="spellEnd"/>
      <w:r w:rsidRPr="00E17A43">
        <w:rPr>
          <w:rFonts w:ascii="Times New Roman" w:hAnsi="Times New Roman" w:cs="Times New Roman"/>
          <w:sz w:val="24"/>
          <w:szCs w:val="24"/>
        </w:rPr>
        <w:t xml:space="preserve"> квартале 2020 года реальные располагаемые доходы россиян сократились на 4,8% по сравнению с тем же периодом 2019-го.</w:t>
      </w:r>
    </w:p>
    <w:p w:rsidR="00531EA4" w:rsidRPr="00E17A43" w:rsidRDefault="00531EA4" w:rsidP="00531EA4">
      <w:pPr>
        <w:pStyle w:val="a3"/>
        <w:ind w:firstLine="1134"/>
        <w:rPr>
          <w:rFonts w:ascii="Times New Roman" w:hAnsi="Times New Roman" w:cs="Times New Roman"/>
          <w:sz w:val="24"/>
          <w:szCs w:val="24"/>
        </w:rPr>
      </w:pPr>
      <w:r w:rsidRPr="00E17A43">
        <w:rPr>
          <w:rFonts w:ascii="Times New Roman" w:hAnsi="Times New Roman" w:cs="Times New Roman"/>
          <w:sz w:val="24"/>
          <w:szCs w:val="24"/>
        </w:rPr>
        <w:t>На фоне пандемии в наибольшей степени под угрозой оказался сектор малого и среднего бизнеса, так как он имеет гораздо меньший запас накоплений и ориентируется на краткосрочное фондирование в отличие от крупных предприятий. Сильнее всего в апреле–сентябре пострадали туристические агентства. По данным исследования НРА, выручка малых предприятий в этой отрасли упала на 70%. Также за это время сильно пострадали отрасли общественного питания, гостиничной деятельности и операций с недвижимостью.</w:t>
      </w:r>
    </w:p>
    <w:p w:rsidR="00531EA4" w:rsidRPr="00E17A43" w:rsidRDefault="00531EA4" w:rsidP="00531EA4">
      <w:pPr>
        <w:pStyle w:val="a3"/>
        <w:ind w:firstLine="1134"/>
        <w:rPr>
          <w:rFonts w:ascii="Times New Roman" w:hAnsi="Times New Roman" w:cs="Times New Roman"/>
          <w:sz w:val="24"/>
          <w:szCs w:val="24"/>
        </w:rPr>
      </w:pPr>
      <w:r w:rsidRPr="00E17A43">
        <w:rPr>
          <w:rFonts w:ascii="Times New Roman" w:hAnsi="Times New Roman" w:cs="Times New Roman"/>
          <w:sz w:val="24"/>
          <w:szCs w:val="24"/>
        </w:rPr>
        <w:t>Наибольший объем средств потеряла оптовая торговля: ее оборот упал с 6,7 трлн до 5 трлн рублей в прошлом году. Но, несмотря на это, число предприятий малого и среднего бизнеса значительно не изменилось. Однако, по оценкам Центра стратегических разработок, количество занятых в МСП в 2020 году могло уменьшиться на 1,1 млн человек.</w:t>
      </w:r>
    </w:p>
    <w:p w:rsidR="00531EA4" w:rsidRPr="00E17A43" w:rsidRDefault="00531EA4" w:rsidP="00531EA4">
      <w:pPr>
        <w:pStyle w:val="a3"/>
        <w:ind w:firstLine="1134"/>
        <w:rPr>
          <w:rFonts w:ascii="Times New Roman" w:hAnsi="Times New Roman" w:cs="Times New Roman"/>
          <w:sz w:val="24"/>
          <w:szCs w:val="24"/>
        </w:rPr>
      </w:pPr>
      <w:r w:rsidRPr="00E17A43">
        <w:rPr>
          <w:rFonts w:ascii="Times New Roman" w:hAnsi="Times New Roman" w:cs="Times New Roman"/>
          <w:sz w:val="24"/>
          <w:szCs w:val="24"/>
        </w:rPr>
        <w:t xml:space="preserve">В Минэкономразвития «Известиям», напротив, сообщили, что численность сотрудников в малом и среднем бизнесе по итогам прошлого года оказалась на 170 тыс. больше, чем в 2019-м. Деятельность МСП за этот период была относительно стабильна, в </w:t>
      </w:r>
      <w:r w:rsidRPr="00E17A43">
        <w:rPr>
          <w:rFonts w:ascii="Times New Roman" w:hAnsi="Times New Roman" w:cs="Times New Roman"/>
          <w:sz w:val="24"/>
          <w:szCs w:val="24"/>
        </w:rPr>
        <w:lastRenderedPageBreak/>
        <w:t>том числе благодаря увеличению доступности кредитов и снижению размеров страховых взносов вдвое, отметили в пресс-службе ведомства.</w:t>
      </w:r>
    </w:p>
    <w:p w:rsidR="00531EA4" w:rsidRPr="00E17A43" w:rsidRDefault="00531EA4" w:rsidP="00531EA4">
      <w:pPr>
        <w:pStyle w:val="a3"/>
        <w:ind w:firstLine="1134"/>
        <w:rPr>
          <w:rFonts w:ascii="Times New Roman" w:hAnsi="Times New Roman" w:cs="Times New Roman"/>
          <w:sz w:val="24"/>
          <w:szCs w:val="24"/>
        </w:rPr>
      </w:pPr>
      <w:r w:rsidRPr="00E17A43">
        <w:rPr>
          <w:rFonts w:ascii="Times New Roman" w:hAnsi="Times New Roman" w:cs="Times New Roman"/>
          <w:sz w:val="24"/>
          <w:szCs w:val="24"/>
        </w:rPr>
        <w:t>По базовому сценарию НРА в 2021 году оборот малых предприятий может вырасти на 1,3 трлн рублей, по стрессовому — сократиться на 1 трлн. Вероятность их реализации будет зависеть от ситуации с пандемией.</w:t>
      </w:r>
    </w:p>
    <w:p w:rsidR="00531EA4" w:rsidRPr="00E17A43" w:rsidRDefault="00531EA4" w:rsidP="00531EA4">
      <w:pPr>
        <w:pStyle w:val="a3"/>
        <w:ind w:firstLine="1134"/>
        <w:rPr>
          <w:rFonts w:ascii="Times New Roman" w:hAnsi="Times New Roman" w:cs="Times New Roman"/>
          <w:sz w:val="24"/>
          <w:szCs w:val="24"/>
        </w:rPr>
      </w:pPr>
      <w:r w:rsidRPr="00E17A43">
        <w:rPr>
          <w:rFonts w:ascii="Times New Roman" w:hAnsi="Times New Roman" w:cs="Times New Roman"/>
          <w:sz w:val="24"/>
          <w:szCs w:val="24"/>
        </w:rPr>
        <w:t>В исследовании уточняется, что с апреля по ноябрь 2020 года МСП получили финансовую поддержку на сумму свыше 290 млрд рублей. В случае развития стрессового сценария в НРА не исключают возможности возобновления субсидий и льгот в некоторых отраслях. При этом в исследовании отмечается, что по мере прекращения финансовой поддержки со стороны государства росло число оформляемых МСП кредитов.</w:t>
      </w:r>
    </w:p>
    <w:p w:rsidR="00531EA4" w:rsidRPr="00E17A43" w:rsidRDefault="00531EA4" w:rsidP="00531EA4">
      <w:pPr>
        <w:pStyle w:val="a3"/>
        <w:ind w:firstLine="1134"/>
        <w:rPr>
          <w:rFonts w:ascii="Times New Roman" w:hAnsi="Times New Roman" w:cs="Times New Roman"/>
          <w:sz w:val="24"/>
          <w:szCs w:val="24"/>
        </w:rPr>
      </w:pPr>
      <w:r w:rsidRPr="00E17A43">
        <w:rPr>
          <w:rFonts w:ascii="Times New Roman" w:hAnsi="Times New Roman" w:cs="Times New Roman"/>
          <w:sz w:val="24"/>
          <w:szCs w:val="24"/>
        </w:rPr>
        <w:t>Пик выдачи займов пришелся на август 2020 года. С января по октябрь количество предприятий, получивших кредиты, выросло на 80% по сравнению с тем же периодом 2019 года. При этом средний размер ссуды снизился на 45%, с 7,29 млн до 3,98 млн рублей. Несмотря на рост объемов кредитования, просрочка по ним не увеличилась благодаря мерам по реструктуризации, говорится в исследовании НРА.</w:t>
      </w:r>
    </w:p>
    <w:p w:rsidR="00531EA4" w:rsidRPr="00E17A43" w:rsidRDefault="00531EA4" w:rsidP="00531EA4">
      <w:pPr>
        <w:pStyle w:val="a3"/>
        <w:ind w:firstLine="1134"/>
        <w:rPr>
          <w:rFonts w:ascii="Times New Roman" w:hAnsi="Times New Roman" w:cs="Times New Roman"/>
          <w:sz w:val="24"/>
          <w:szCs w:val="24"/>
        </w:rPr>
      </w:pPr>
      <w:r w:rsidRPr="00E17A43">
        <w:rPr>
          <w:rFonts w:ascii="Times New Roman" w:hAnsi="Times New Roman" w:cs="Times New Roman"/>
          <w:sz w:val="24"/>
          <w:szCs w:val="24"/>
        </w:rPr>
        <w:t>Задолженность МСП по кредитам за 10 месяцев 2020 года выросла на 17% и достигла 5,54 трлн рублей, рассказали «Известиям» в пресс-службе ЦБ. Программы поддержки бизнеса со стороны регулятора и правительства, в том числе займы на выплату зарплаты и на возобновление деятельности, способствовали поддержанию объемов кредитования, считают в регуляторе. В том числе эти программы способствовали уменьшению средней суммы кредита.</w:t>
      </w:r>
    </w:p>
    <w:p w:rsidR="00531EA4" w:rsidRPr="00E17A43" w:rsidRDefault="00531EA4" w:rsidP="00531EA4">
      <w:pPr>
        <w:pStyle w:val="a3"/>
        <w:ind w:firstLine="1134"/>
        <w:rPr>
          <w:rFonts w:ascii="Times New Roman" w:hAnsi="Times New Roman" w:cs="Times New Roman"/>
          <w:sz w:val="24"/>
          <w:szCs w:val="24"/>
        </w:rPr>
      </w:pPr>
      <w:r w:rsidRPr="00E17A43">
        <w:rPr>
          <w:rFonts w:ascii="Times New Roman" w:hAnsi="Times New Roman" w:cs="Times New Roman"/>
          <w:sz w:val="24"/>
          <w:szCs w:val="24"/>
        </w:rPr>
        <w:t>Рост кредитования малого и среднего бизнеса подтвердили в банках из топ-30. За 10 месяцев 2020 года кредитный портфель МСП увеличился на 67% по сравнению с тем же периодом 2019-го, рассказали в пресс-службе ПСБ. В основном это произошло из-за мер господдержки.</w:t>
      </w:r>
    </w:p>
    <w:p w:rsidR="00531EA4" w:rsidRPr="00E17A43" w:rsidRDefault="00531EA4" w:rsidP="00531EA4">
      <w:pPr>
        <w:pStyle w:val="a3"/>
        <w:ind w:firstLine="1134"/>
        <w:rPr>
          <w:rFonts w:ascii="Times New Roman" w:hAnsi="Times New Roman" w:cs="Times New Roman"/>
          <w:sz w:val="24"/>
          <w:szCs w:val="24"/>
        </w:rPr>
      </w:pPr>
      <w:r w:rsidRPr="00E17A43">
        <w:rPr>
          <w:rFonts w:ascii="Times New Roman" w:hAnsi="Times New Roman" w:cs="Times New Roman"/>
          <w:sz w:val="24"/>
          <w:szCs w:val="24"/>
        </w:rPr>
        <w:t>В 2020 году наблюдался почти двукратный рост объемов кредитования по специальным программам, рассказали в пресс-службе банка «Санкт-Петербург». При этом увеличились количество займов и их средний размер по сравнению с 2019 годом. Рост составил 30% и 40% соответственно.</w:t>
      </w:r>
    </w:p>
    <w:p w:rsidR="00531EA4" w:rsidRPr="00E17A43" w:rsidRDefault="00531EA4" w:rsidP="00531EA4">
      <w:pPr>
        <w:pStyle w:val="a3"/>
        <w:ind w:firstLine="1134"/>
        <w:rPr>
          <w:rFonts w:ascii="Times New Roman" w:hAnsi="Times New Roman" w:cs="Times New Roman"/>
          <w:sz w:val="24"/>
          <w:szCs w:val="24"/>
        </w:rPr>
      </w:pPr>
      <w:r w:rsidRPr="00E17A43">
        <w:rPr>
          <w:rFonts w:ascii="Times New Roman" w:hAnsi="Times New Roman" w:cs="Times New Roman"/>
          <w:sz w:val="24"/>
          <w:szCs w:val="24"/>
        </w:rPr>
        <w:t xml:space="preserve">Объем оформленных малым и средним агробизнесом кредитов в прошлом году составил более 260 млрд рублей, что на 44% выше аналогичного показателя 2019-го, сообщили в </w:t>
      </w:r>
      <w:proofErr w:type="spellStart"/>
      <w:r w:rsidRPr="00E17A43">
        <w:rPr>
          <w:rFonts w:ascii="Times New Roman" w:hAnsi="Times New Roman" w:cs="Times New Roman"/>
          <w:sz w:val="24"/>
          <w:szCs w:val="24"/>
        </w:rPr>
        <w:t>Россельхозбанке</w:t>
      </w:r>
      <w:proofErr w:type="spellEnd"/>
      <w:r w:rsidRPr="00E17A43">
        <w:rPr>
          <w:rFonts w:ascii="Times New Roman" w:hAnsi="Times New Roman" w:cs="Times New Roman"/>
          <w:sz w:val="24"/>
          <w:szCs w:val="24"/>
        </w:rPr>
        <w:t>. Рост задолженности сегмента МСП в отрасли оказался наиболее высоким. Увеличение объемов кредитования также отметили в «</w:t>
      </w:r>
      <w:proofErr w:type="spellStart"/>
      <w:r w:rsidRPr="00E17A43">
        <w:rPr>
          <w:rFonts w:ascii="Times New Roman" w:hAnsi="Times New Roman" w:cs="Times New Roman"/>
          <w:sz w:val="24"/>
          <w:szCs w:val="24"/>
        </w:rPr>
        <w:t>Сбере</w:t>
      </w:r>
      <w:proofErr w:type="spellEnd"/>
      <w:r w:rsidRPr="00E17A43">
        <w:rPr>
          <w:rFonts w:ascii="Times New Roman" w:hAnsi="Times New Roman" w:cs="Times New Roman"/>
          <w:sz w:val="24"/>
          <w:szCs w:val="24"/>
        </w:rPr>
        <w:t xml:space="preserve">», </w:t>
      </w:r>
      <w:proofErr w:type="spellStart"/>
      <w:r w:rsidRPr="00E17A43">
        <w:rPr>
          <w:rFonts w:ascii="Times New Roman" w:hAnsi="Times New Roman" w:cs="Times New Roman"/>
          <w:sz w:val="24"/>
          <w:szCs w:val="24"/>
        </w:rPr>
        <w:t>Совкомбанке</w:t>
      </w:r>
      <w:proofErr w:type="spellEnd"/>
      <w:r w:rsidRPr="00E17A43">
        <w:rPr>
          <w:rFonts w:ascii="Times New Roman" w:hAnsi="Times New Roman" w:cs="Times New Roman"/>
          <w:sz w:val="24"/>
          <w:szCs w:val="24"/>
        </w:rPr>
        <w:t xml:space="preserve"> и «Тинькофф».</w:t>
      </w:r>
    </w:p>
    <w:p w:rsidR="00531EA4" w:rsidRDefault="00531EA4" w:rsidP="00531EA4">
      <w:pPr>
        <w:pStyle w:val="a3"/>
        <w:ind w:firstLine="1134"/>
        <w:rPr>
          <w:rFonts w:ascii="Times New Roman" w:hAnsi="Times New Roman" w:cs="Times New Roman"/>
          <w:sz w:val="24"/>
          <w:szCs w:val="24"/>
        </w:rPr>
      </w:pPr>
    </w:p>
    <w:p w:rsidR="00531EA4" w:rsidRPr="00E17A43" w:rsidRDefault="00531EA4" w:rsidP="00531EA4">
      <w:pPr>
        <w:pStyle w:val="a3"/>
        <w:ind w:firstLine="1134"/>
        <w:rPr>
          <w:rFonts w:ascii="Times New Roman" w:hAnsi="Times New Roman" w:cs="Times New Roman"/>
          <w:sz w:val="24"/>
          <w:szCs w:val="24"/>
        </w:rPr>
      </w:pPr>
    </w:p>
    <w:p w:rsidR="007F17D0" w:rsidRPr="007F17D0" w:rsidRDefault="007F17D0" w:rsidP="007F17D0">
      <w:pPr>
        <w:pStyle w:val="a3"/>
        <w:ind w:firstLine="1134"/>
        <w:rPr>
          <w:rFonts w:ascii="Times New Roman" w:hAnsi="Times New Roman" w:cs="Times New Roman"/>
          <w:b/>
          <w:sz w:val="24"/>
          <w:szCs w:val="24"/>
        </w:rPr>
      </w:pPr>
      <w:r w:rsidRPr="007F17D0">
        <w:rPr>
          <w:rFonts w:ascii="Times New Roman" w:hAnsi="Times New Roman" w:cs="Times New Roman"/>
          <w:b/>
          <w:sz w:val="24"/>
          <w:szCs w:val="24"/>
        </w:rPr>
        <w:t>Новые компании создаются реже, чем банкротятся старые</w:t>
      </w:r>
    </w:p>
    <w:p w:rsidR="00531EA4" w:rsidRPr="00E17A43" w:rsidRDefault="0060763F" w:rsidP="00531EA4">
      <w:pPr>
        <w:pStyle w:val="a3"/>
        <w:ind w:firstLine="1134"/>
        <w:rPr>
          <w:rFonts w:ascii="Times New Roman" w:hAnsi="Times New Roman" w:cs="Times New Roman"/>
          <w:sz w:val="24"/>
          <w:szCs w:val="24"/>
        </w:rPr>
      </w:pPr>
      <w:hyperlink r:id="rId6" w:history="1">
        <w:r w:rsidR="007F17D0" w:rsidRPr="00B32B3A">
          <w:rPr>
            <w:rStyle w:val="a5"/>
            <w:rFonts w:ascii="Times New Roman" w:hAnsi="Times New Roman" w:cs="Times New Roman"/>
            <w:sz w:val="24"/>
            <w:szCs w:val="24"/>
          </w:rPr>
          <w:t>https://www.kommersant.ru/doc/4654324</w:t>
        </w:r>
      </w:hyperlink>
      <w:r w:rsidR="007F17D0">
        <w:rPr>
          <w:rFonts w:ascii="Times New Roman" w:hAnsi="Times New Roman" w:cs="Times New Roman"/>
          <w:sz w:val="24"/>
          <w:szCs w:val="24"/>
        </w:rPr>
        <w:t xml:space="preserve"> </w:t>
      </w:r>
    </w:p>
    <w:p w:rsidR="00531EA4" w:rsidRPr="00E17A43" w:rsidRDefault="00531EA4" w:rsidP="00531EA4">
      <w:pPr>
        <w:pStyle w:val="a3"/>
        <w:ind w:firstLine="1134"/>
        <w:rPr>
          <w:rFonts w:ascii="Times New Roman" w:hAnsi="Times New Roman" w:cs="Times New Roman"/>
          <w:sz w:val="24"/>
          <w:szCs w:val="24"/>
        </w:rPr>
      </w:pPr>
      <w:r w:rsidRPr="00E17A43">
        <w:rPr>
          <w:rFonts w:ascii="Times New Roman" w:hAnsi="Times New Roman" w:cs="Times New Roman"/>
          <w:sz w:val="24"/>
          <w:szCs w:val="24"/>
        </w:rPr>
        <w:t xml:space="preserve">По данным ежемесячного мониторинга ЦМАКП банкротств </w:t>
      </w:r>
      <w:proofErr w:type="spellStart"/>
      <w:r w:rsidRPr="00E17A43">
        <w:rPr>
          <w:rFonts w:ascii="Times New Roman" w:hAnsi="Times New Roman" w:cs="Times New Roman"/>
          <w:sz w:val="24"/>
          <w:szCs w:val="24"/>
        </w:rPr>
        <w:t>юрлиц</w:t>
      </w:r>
      <w:proofErr w:type="spellEnd"/>
      <w:r w:rsidRPr="00E17A43">
        <w:rPr>
          <w:rFonts w:ascii="Times New Roman" w:hAnsi="Times New Roman" w:cs="Times New Roman"/>
          <w:sz w:val="24"/>
          <w:szCs w:val="24"/>
        </w:rPr>
        <w:t xml:space="preserve">, в 2020 году их число «в условиях повышенной неопределенности» сократилось на 19,8% (на 6% год назад). Аналитики и чиновники называют причиной этого мораторий на банкротства — антикризисной меры правительства, действовавшей с апреля 2020 года по 7 января 2021 года. Однозначно оценить </w:t>
      </w:r>
      <w:proofErr w:type="spellStart"/>
      <w:r w:rsidRPr="00E17A43">
        <w:rPr>
          <w:rFonts w:ascii="Times New Roman" w:hAnsi="Times New Roman" w:cs="Times New Roman"/>
          <w:sz w:val="24"/>
          <w:szCs w:val="24"/>
        </w:rPr>
        <w:t>макропоследствия</w:t>
      </w:r>
      <w:proofErr w:type="spellEnd"/>
      <w:r w:rsidRPr="00E17A43">
        <w:rPr>
          <w:rFonts w:ascii="Times New Roman" w:hAnsi="Times New Roman" w:cs="Times New Roman"/>
          <w:sz w:val="24"/>
          <w:szCs w:val="24"/>
        </w:rPr>
        <w:t xml:space="preserve"> снятия моратория аналитики пока не берутся, но катастрофы не ждут — их больше беспокоят двузначные темпы сокращения запуска новых компаний по итогам года.</w:t>
      </w:r>
    </w:p>
    <w:p w:rsidR="00531EA4" w:rsidRPr="00E17A43" w:rsidRDefault="00531EA4" w:rsidP="00531EA4">
      <w:pPr>
        <w:pStyle w:val="a3"/>
        <w:ind w:firstLine="1134"/>
        <w:rPr>
          <w:rFonts w:ascii="Times New Roman" w:hAnsi="Times New Roman" w:cs="Times New Roman"/>
          <w:sz w:val="24"/>
          <w:szCs w:val="24"/>
        </w:rPr>
      </w:pPr>
      <w:r w:rsidRPr="00E17A43">
        <w:rPr>
          <w:rFonts w:ascii="Times New Roman" w:hAnsi="Times New Roman" w:cs="Times New Roman"/>
          <w:sz w:val="24"/>
          <w:szCs w:val="24"/>
        </w:rPr>
        <w:t xml:space="preserve">В ЦМАКП считают, что в 2020 году можно говорить по крайней мере о 2 тыс. </w:t>
      </w:r>
      <w:proofErr w:type="spellStart"/>
      <w:r w:rsidRPr="00E17A43">
        <w:rPr>
          <w:rFonts w:ascii="Times New Roman" w:hAnsi="Times New Roman" w:cs="Times New Roman"/>
          <w:sz w:val="24"/>
          <w:szCs w:val="24"/>
        </w:rPr>
        <w:t>юрлиц</w:t>
      </w:r>
      <w:proofErr w:type="spellEnd"/>
      <w:r w:rsidRPr="00E17A43">
        <w:rPr>
          <w:rFonts w:ascii="Times New Roman" w:hAnsi="Times New Roman" w:cs="Times New Roman"/>
          <w:sz w:val="24"/>
          <w:szCs w:val="24"/>
        </w:rPr>
        <w:t xml:space="preserve">—потенциальных банкротов, «выпавших» из статистики в результате ограничений на банкротство, из которых порядка 200 — это средний и крупный бизнес (выручка от 800 млн руб. в год): в кризисы число банкротств возрастает, и без ограничений итоги 2020 года должны были как минимум соответствовать данным 2019-го. Глава же ФНС </w:t>
      </w:r>
      <w:r w:rsidRPr="00E17A43">
        <w:rPr>
          <w:rFonts w:ascii="Times New Roman" w:hAnsi="Times New Roman" w:cs="Times New Roman"/>
          <w:sz w:val="24"/>
          <w:szCs w:val="24"/>
        </w:rPr>
        <w:lastRenderedPageBreak/>
        <w:t>Даниил Егоров на Гайдаровском форуме заявил, что мораторием на банкротства воспользовались более 200 тыс. компаний.</w:t>
      </w:r>
    </w:p>
    <w:p w:rsidR="00531EA4" w:rsidRPr="00E17A43" w:rsidRDefault="00531EA4" w:rsidP="00531EA4">
      <w:pPr>
        <w:pStyle w:val="a3"/>
        <w:ind w:firstLine="1134"/>
        <w:rPr>
          <w:rFonts w:ascii="Times New Roman" w:hAnsi="Times New Roman" w:cs="Times New Roman"/>
          <w:sz w:val="24"/>
          <w:szCs w:val="24"/>
        </w:rPr>
      </w:pPr>
      <w:r w:rsidRPr="00E17A43">
        <w:rPr>
          <w:rFonts w:ascii="Times New Roman" w:hAnsi="Times New Roman" w:cs="Times New Roman"/>
          <w:sz w:val="24"/>
          <w:szCs w:val="24"/>
        </w:rPr>
        <w:t>«Неопределенность экономической ситуации могла привести к увеличению числа заявлений кредиторов о признании банкротами испытывающих временные трудности должников. Это мог быть психологический момент. Мораторий позволил снять излишнее напряжение и способствовал сохранению стабильности функционирования бизнеса»,— пояснял замглавы Минэкономики Илья Торосов. «Мораторий на подачу кредиторами заявлений о несостоятельности способствовал снижению числа банкротств в 2020 году»,— соглашается руководитель проекта «</w:t>
      </w:r>
      <w:proofErr w:type="spellStart"/>
      <w:r w:rsidRPr="00E17A43">
        <w:rPr>
          <w:rFonts w:ascii="Times New Roman" w:hAnsi="Times New Roman" w:cs="Times New Roman"/>
          <w:sz w:val="24"/>
          <w:szCs w:val="24"/>
        </w:rPr>
        <w:t>Федресурс</w:t>
      </w:r>
      <w:proofErr w:type="spellEnd"/>
      <w:r w:rsidRPr="00E17A43">
        <w:rPr>
          <w:rFonts w:ascii="Times New Roman" w:hAnsi="Times New Roman" w:cs="Times New Roman"/>
          <w:sz w:val="24"/>
          <w:szCs w:val="24"/>
        </w:rPr>
        <w:t>» Алексей Юхнин. В свою очередь, Владимир Сальников из ЦМАКП отмечает, что проработки моратория, как и обоснований его продления, не было, и «логика снятия моратория 8 января не была обоснована, что лишь поддерживает неопределенность».</w:t>
      </w:r>
    </w:p>
    <w:p w:rsidR="00531EA4" w:rsidRPr="00E17A43" w:rsidRDefault="00531EA4" w:rsidP="00531EA4">
      <w:pPr>
        <w:pStyle w:val="a3"/>
        <w:ind w:firstLine="1134"/>
        <w:rPr>
          <w:rFonts w:ascii="Times New Roman" w:hAnsi="Times New Roman" w:cs="Times New Roman"/>
          <w:sz w:val="24"/>
          <w:szCs w:val="24"/>
        </w:rPr>
      </w:pPr>
      <w:r w:rsidRPr="00E17A43">
        <w:rPr>
          <w:rFonts w:ascii="Times New Roman" w:hAnsi="Times New Roman" w:cs="Times New Roman"/>
          <w:sz w:val="24"/>
          <w:szCs w:val="24"/>
        </w:rPr>
        <w:t xml:space="preserve">По мнению аналитиков центра, неясность дальнейшей траектории банкротств (будет ли волна «выпавших ранее из статистики» банкротов и их контрагентов) сохраняется — неизвестно, сколько споров между защищенными мораторием должниками и их кредиторами было урегулировано </w:t>
      </w:r>
      <w:proofErr w:type="spellStart"/>
      <w:r w:rsidRPr="00E17A43">
        <w:rPr>
          <w:rFonts w:ascii="Times New Roman" w:hAnsi="Times New Roman" w:cs="Times New Roman"/>
          <w:sz w:val="24"/>
          <w:szCs w:val="24"/>
        </w:rPr>
        <w:t>досудебно</w:t>
      </w:r>
      <w:proofErr w:type="spellEnd"/>
      <w:r w:rsidRPr="00E17A43">
        <w:rPr>
          <w:rFonts w:ascii="Times New Roman" w:hAnsi="Times New Roman" w:cs="Times New Roman"/>
          <w:sz w:val="24"/>
          <w:szCs w:val="24"/>
        </w:rPr>
        <w:t xml:space="preserve"> либо с помощью нового механизма судебной рассрочки (утверждение плана реструктуризации даже без согласия кредиторов). «По-видимому, в ближайшее время мы увидим интенсификацию реструктуризации долгов, частичных дефолтов, вплоть до отдельных банкротств. В первую очередь этому будут подвержены экономически неэффективные предприятия, слабые в финансовом отношении и с низким уровнем менеджмента. Если часть этих предприятий уйдет с рынка, для экономики в целом и для промышленности в частности особого беспокойства не произойдет»,— полагает глава Центра конъюнктурных исследований ИСИЭЗ ВШЭ Георгий </w:t>
      </w:r>
      <w:proofErr w:type="spellStart"/>
      <w:r w:rsidRPr="00E17A43">
        <w:rPr>
          <w:rFonts w:ascii="Times New Roman" w:hAnsi="Times New Roman" w:cs="Times New Roman"/>
          <w:sz w:val="24"/>
          <w:szCs w:val="24"/>
        </w:rPr>
        <w:t>Остапкович</w:t>
      </w:r>
      <w:proofErr w:type="spellEnd"/>
      <w:r w:rsidRPr="00E17A43">
        <w:rPr>
          <w:rFonts w:ascii="Times New Roman" w:hAnsi="Times New Roman" w:cs="Times New Roman"/>
          <w:sz w:val="24"/>
          <w:szCs w:val="24"/>
        </w:rPr>
        <w:t>. Впрочем, Владимир Сальников считает, что банкротства вряд ли заметно оздоровят экономику, так как «у нас они специфические»: в отличие от развитых стран в РФ банкротятся мелкие компании, и по сравнению с общим масштабом закрытия предприятий ликвидация по несостоятельности незначительна.</w:t>
      </w:r>
    </w:p>
    <w:p w:rsidR="00531EA4" w:rsidRPr="00E17A43" w:rsidRDefault="00531EA4" w:rsidP="00531EA4">
      <w:pPr>
        <w:pStyle w:val="a3"/>
        <w:ind w:firstLine="1134"/>
        <w:rPr>
          <w:rFonts w:ascii="Times New Roman" w:hAnsi="Times New Roman" w:cs="Times New Roman"/>
          <w:sz w:val="24"/>
          <w:szCs w:val="24"/>
        </w:rPr>
      </w:pPr>
      <w:r w:rsidRPr="00E17A43">
        <w:rPr>
          <w:rFonts w:ascii="Times New Roman" w:hAnsi="Times New Roman" w:cs="Times New Roman"/>
          <w:sz w:val="24"/>
          <w:szCs w:val="24"/>
        </w:rPr>
        <w:t xml:space="preserve">ЦМАКП же беспокоит сальдо закрытий и создания новых компаний: на конец 2020 году число </w:t>
      </w:r>
      <w:proofErr w:type="spellStart"/>
      <w:r w:rsidRPr="00E17A43">
        <w:rPr>
          <w:rFonts w:ascii="Times New Roman" w:hAnsi="Times New Roman" w:cs="Times New Roman"/>
          <w:sz w:val="24"/>
          <w:szCs w:val="24"/>
        </w:rPr>
        <w:t>юрлиц</w:t>
      </w:r>
      <w:proofErr w:type="spellEnd"/>
      <w:r w:rsidRPr="00E17A43">
        <w:rPr>
          <w:rFonts w:ascii="Times New Roman" w:hAnsi="Times New Roman" w:cs="Times New Roman"/>
          <w:sz w:val="24"/>
          <w:szCs w:val="24"/>
        </w:rPr>
        <w:t xml:space="preserve"> в ЕГРЮЛ составило 3,437 млн — на 8,2% ниже, чем в 2019 году. Аналитики называют «тревожным» снижение числа новых компаний в экономике на 24,3%: в 2020 году на одну открытую компанию приходилось 2,3 прекративших деятельность — против 2,1 год назад, хотя прекратили деятельность в 2020 году 549 тыс. компаний — на 16,7% ниже, чем в 2019 году. Основные причины: 1,9% — реорганизация (сохраняется правопреемственность), 12% — ликвидация (включая банкротство) и 85,3% — исключение из ЕГРЮЛ по решению регистратора (например, недействующих </w:t>
      </w:r>
      <w:proofErr w:type="spellStart"/>
      <w:r w:rsidRPr="00E17A43">
        <w:rPr>
          <w:rFonts w:ascii="Times New Roman" w:hAnsi="Times New Roman" w:cs="Times New Roman"/>
          <w:sz w:val="24"/>
          <w:szCs w:val="24"/>
        </w:rPr>
        <w:t>юрлиц</w:t>
      </w:r>
      <w:proofErr w:type="spellEnd"/>
      <w:r w:rsidRPr="00E17A43">
        <w:rPr>
          <w:rFonts w:ascii="Times New Roman" w:hAnsi="Times New Roman" w:cs="Times New Roman"/>
          <w:sz w:val="24"/>
          <w:szCs w:val="24"/>
        </w:rPr>
        <w:t>).</w:t>
      </w:r>
    </w:p>
    <w:p w:rsidR="00531EA4" w:rsidRPr="00E17A43" w:rsidRDefault="00531EA4" w:rsidP="00531EA4">
      <w:pPr>
        <w:pStyle w:val="a3"/>
        <w:ind w:firstLine="1134"/>
        <w:rPr>
          <w:rFonts w:ascii="Times New Roman" w:hAnsi="Times New Roman" w:cs="Times New Roman"/>
          <w:sz w:val="24"/>
          <w:szCs w:val="24"/>
        </w:rPr>
      </w:pPr>
    </w:p>
    <w:p w:rsidR="00531EA4" w:rsidRPr="00E17A43" w:rsidRDefault="00531EA4" w:rsidP="00531EA4">
      <w:pPr>
        <w:pStyle w:val="a3"/>
        <w:ind w:firstLine="1134"/>
        <w:rPr>
          <w:rFonts w:ascii="Times New Roman" w:hAnsi="Times New Roman" w:cs="Times New Roman"/>
          <w:sz w:val="24"/>
          <w:szCs w:val="24"/>
        </w:rPr>
      </w:pPr>
    </w:p>
    <w:p w:rsidR="007F17D0" w:rsidRPr="007F17D0" w:rsidRDefault="007F17D0" w:rsidP="007F17D0">
      <w:pPr>
        <w:pStyle w:val="a3"/>
        <w:ind w:firstLine="1134"/>
        <w:rPr>
          <w:rFonts w:ascii="Times New Roman" w:hAnsi="Times New Roman" w:cs="Times New Roman"/>
          <w:b/>
          <w:sz w:val="24"/>
          <w:szCs w:val="24"/>
        </w:rPr>
      </w:pPr>
      <w:r w:rsidRPr="007F17D0">
        <w:rPr>
          <w:rFonts w:ascii="Times New Roman" w:hAnsi="Times New Roman" w:cs="Times New Roman"/>
          <w:b/>
          <w:sz w:val="24"/>
          <w:szCs w:val="24"/>
        </w:rPr>
        <w:t>ФНС подвела итоги отказа от ЕНВД</w:t>
      </w:r>
    </w:p>
    <w:p w:rsidR="00531EA4" w:rsidRPr="00E17A43" w:rsidRDefault="0060763F" w:rsidP="00531EA4">
      <w:pPr>
        <w:pStyle w:val="a3"/>
        <w:ind w:firstLine="1134"/>
        <w:rPr>
          <w:rFonts w:ascii="Times New Roman" w:hAnsi="Times New Roman" w:cs="Times New Roman"/>
          <w:sz w:val="24"/>
          <w:szCs w:val="24"/>
        </w:rPr>
      </w:pPr>
      <w:hyperlink r:id="rId7" w:history="1">
        <w:r w:rsidR="007F17D0" w:rsidRPr="00B32B3A">
          <w:rPr>
            <w:rStyle w:val="a5"/>
            <w:rFonts w:ascii="Times New Roman" w:hAnsi="Times New Roman" w:cs="Times New Roman"/>
            <w:sz w:val="24"/>
            <w:szCs w:val="24"/>
          </w:rPr>
          <w:t>https://www.kommersant.ru/doc/4654347</w:t>
        </w:r>
      </w:hyperlink>
      <w:r w:rsidR="007F17D0">
        <w:rPr>
          <w:rFonts w:ascii="Times New Roman" w:hAnsi="Times New Roman" w:cs="Times New Roman"/>
          <w:sz w:val="24"/>
          <w:szCs w:val="24"/>
        </w:rPr>
        <w:t xml:space="preserve"> </w:t>
      </w:r>
    </w:p>
    <w:p w:rsidR="00531EA4" w:rsidRPr="00E17A43" w:rsidRDefault="00531EA4" w:rsidP="00531EA4">
      <w:pPr>
        <w:pStyle w:val="a3"/>
        <w:ind w:firstLine="1134"/>
        <w:rPr>
          <w:rFonts w:ascii="Times New Roman" w:hAnsi="Times New Roman" w:cs="Times New Roman"/>
          <w:sz w:val="24"/>
          <w:szCs w:val="24"/>
        </w:rPr>
      </w:pPr>
      <w:r w:rsidRPr="00E17A43">
        <w:rPr>
          <w:rFonts w:ascii="Times New Roman" w:hAnsi="Times New Roman" w:cs="Times New Roman"/>
          <w:sz w:val="24"/>
          <w:szCs w:val="24"/>
        </w:rPr>
        <w:t>В Федеральной налоговой службе рассказали о выборе, который сделал малый бизнес в связи с отменой с 1 января 2021 года режима ЕНВД. Всего на конец 2020 года решение приняли 96,2% предпринимателей. Ранее в ходе Гайдаровского форума глава ФНС России Даниил Егоров сообщил, что из 1,3 млн компаний и индивидуальных предпринимателей, применявших ЕНВД на конец 2020 года, выбора не сделали 60 тыс.— и таким образом они пока остались на общей системе налогообложения.</w:t>
      </w:r>
    </w:p>
    <w:p w:rsidR="00531EA4" w:rsidRPr="00E17A43" w:rsidRDefault="00531EA4" w:rsidP="00531EA4">
      <w:pPr>
        <w:pStyle w:val="a3"/>
        <w:ind w:firstLine="1134"/>
        <w:rPr>
          <w:rFonts w:ascii="Times New Roman" w:hAnsi="Times New Roman" w:cs="Times New Roman"/>
          <w:sz w:val="24"/>
          <w:szCs w:val="24"/>
        </w:rPr>
      </w:pPr>
      <w:r w:rsidRPr="00E17A43">
        <w:rPr>
          <w:rFonts w:ascii="Times New Roman" w:hAnsi="Times New Roman" w:cs="Times New Roman"/>
          <w:sz w:val="24"/>
          <w:szCs w:val="24"/>
        </w:rPr>
        <w:t>В ФНС вчера пояснили, что из тех, кто в 2020 году применял исключительно ЕНВД и выбрал иной специальный налоговый режим, 57,5% перешли на упрощенную систему налогообложения (УСН), 40% выбрали патентную систему налогообложения (ПСН).</w:t>
      </w:r>
    </w:p>
    <w:p w:rsidR="00531EA4" w:rsidRPr="00E17A43" w:rsidRDefault="00531EA4" w:rsidP="00531EA4">
      <w:pPr>
        <w:pStyle w:val="a3"/>
        <w:ind w:firstLine="1134"/>
        <w:rPr>
          <w:rFonts w:ascii="Times New Roman" w:hAnsi="Times New Roman" w:cs="Times New Roman"/>
          <w:sz w:val="24"/>
          <w:szCs w:val="24"/>
        </w:rPr>
      </w:pPr>
      <w:r w:rsidRPr="00E17A43">
        <w:rPr>
          <w:rFonts w:ascii="Times New Roman" w:hAnsi="Times New Roman" w:cs="Times New Roman"/>
          <w:sz w:val="24"/>
          <w:szCs w:val="24"/>
        </w:rPr>
        <w:lastRenderedPageBreak/>
        <w:t xml:space="preserve">Индивидуальные предприниматели, не имеющие работников, зарегистрировались в качестве плательщиков налога на профессиональный доход, то есть как </w:t>
      </w:r>
      <w:proofErr w:type="spellStart"/>
      <w:r w:rsidRPr="00E17A43">
        <w:rPr>
          <w:rFonts w:ascii="Times New Roman" w:hAnsi="Times New Roman" w:cs="Times New Roman"/>
          <w:sz w:val="24"/>
          <w:szCs w:val="24"/>
        </w:rPr>
        <w:t>самозанятые</w:t>
      </w:r>
      <w:proofErr w:type="spellEnd"/>
      <w:r w:rsidRPr="00E17A43">
        <w:rPr>
          <w:rFonts w:ascii="Times New Roman" w:hAnsi="Times New Roman" w:cs="Times New Roman"/>
          <w:sz w:val="24"/>
          <w:szCs w:val="24"/>
        </w:rPr>
        <w:t>,— таких оказалось 2,5% из числа экс-плательщиков ЕНВД.</w:t>
      </w:r>
    </w:p>
    <w:p w:rsidR="00531EA4" w:rsidRPr="00E17A43" w:rsidRDefault="007F17D0" w:rsidP="00531EA4">
      <w:pPr>
        <w:pStyle w:val="a3"/>
        <w:ind w:firstLine="1134"/>
        <w:rPr>
          <w:rFonts w:ascii="Times New Roman" w:hAnsi="Times New Roman" w:cs="Times New Roman"/>
          <w:sz w:val="24"/>
          <w:szCs w:val="24"/>
        </w:rPr>
      </w:pPr>
      <w:r>
        <w:rPr>
          <w:rFonts w:ascii="Times New Roman" w:hAnsi="Times New Roman" w:cs="Times New Roman"/>
          <w:sz w:val="24"/>
          <w:szCs w:val="24"/>
        </w:rPr>
        <w:t>В</w:t>
      </w:r>
      <w:r w:rsidR="00531EA4" w:rsidRPr="00E17A43">
        <w:rPr>
          <w:rFonts w:ascii="Times New Roman" w:hAnsi="Times New Roman" w:cs="Times New Roman"/>
          <w:sz w:val="24"/>
          <w:szCs w:val="24"/>
        </w:rPr>
        <w:t xml:space="preserve"> ФНС напоминают, что ЕНВД применялся в сферах деятельности, где расчеты с покупателями были преимущественно наличными (розничная торговля, бытовые услуги, частный извоз), где сумму полученного фактического дохода ранее было невозможно эффективно проконтролировать. «Основная цель отмены ЕНВД заключалась не в сборе дополнительных доходов в бюджет, а в его экономической необоснованности. Онлайн-кассы сделали сектор розницы прозрачным, и выяснилось, что около половины плательщиков ЕНВД получали нерыночные конкурентные преимущества перед другими участниками рынка»,— сказали “Ъ” в ФНС.</w:t>
      </w:r>
    </w:p>
    <w:p w:rsidR="00531EA4" w:rsidRPr="00E17A43" w:rsidRDefault="00531EA4" w:rsidP="00531EA4">
      <w:pPr>
        <w:pStyle w:val="a3"/>
        <w:ind w:firstLine="1134"/>
        <w:rPr>
          <w:rFonts w:ascii="Times New Roman" w:hAnsi="Times New Roman" w:cs="Times New Roman"/>
          <w:sz w:val="24"/>
          <w:szCs w:val="24"/>
        </w:rPr>
      </w:pPr>
      <w:r w:rsidRPr="00E17A43">
        <w:rPr>
          <w:rFonts w:ascii="Times New Roman" w:hAnsi="Times New Roman" w:cs="Times New Roman"/>
          <w:sz w:val="24"/>
          <w:szCs w:val="24"/>
        </w:rPr>
        <w:t xml:space="preserve">Директор в практике по оказанию услуг государственным органам и общественному сектору </w:t>
      </w:r>
      <w:proofErr w:type="spellStart"/>
      <w:r w:rsidRPr="00E17A43">
        <w:rPr>
          <w:rFonts w:ascii="Times New Roman" w:hAnsi="Times New Roman" w:cs="Times New Roman"/>
          <w:sz w:val="24"/>
          <w:szCs w:val="24"/>
        </w:rPr>
        <w:t>PwC</w:t>
      </w:r>
      <w:proofErr w:type="spellEnd"/>
      <w:r w:rsidRPr="00E17A43">
        <w:rPr>
          <w:rFonts w:ascii="Times New Roman" w:hAnsi="Times New Roman" w:cs="Times New Roman"/>
          <w:sz w:val="24"/>
          <w:szCs w:val="24"/>
        </w:rPr>
        <w:t xml:space="preserve"> в России Дмитрий Дегтярев отмечает, что с момента введения ЕНВД возможности налоговой службы по администрированию серьезно выросли, что позволяет администрировать налоги малого бизнеса на других </w:t>
      </w:r>
      <w:proofErr w:type="spellStart"/>
      <w:r w:rsidRPr="00E17A43">
        <w:rPr>
          <w:rFonts w:ascii="Times New Roman" w:hAnsi="Times New Roman" w:cs="Times New Roman"/>
          <w:sz w:val="24"/>
          <w:szCs w:val="24"/>
        </w:rPr>
        <w:t>спецрежимах</w:t>
      </w:r>
      <w:proofErr w:type="spellEnd"/>
      <w:r w:rsidRPr="00E17A43">
        <w:rPr>
          <w:rFonts w:ascii="Times New Roman" w:hAnsi="Times New Roman" w:cs="Times New Roman"/>
          <w:sz w:val="24"/>
          <w:szCs w:val="24"/>
        </w:rPr>
        <w:t>. По его словам, ранее в ряде муниципальных образований были установлены очень низкие ставки ЕНВД — например, в 2019 году в Пермском крае в Красновишерском муниципальном районе фотоателье с одним сотрудником платило ЕНВД в размере всего 129 руб. в год.</w:t>
      </w:r>
    </w:p>
    <w:p w:rsidR="00531EA4" w:rsidRPr="00E17A43" w:rsidRDefault="00531EA4" w:rsidP="00531EA4">
      <w:pPr>
        <w:pStyle w:val="a3"/>
        <w:ind w:firstLine="1134"/>
        <w:rPr>
          <w:rFonts w:ascii="Times New Roman" w:hAnsi="Times New Roman" w:cs="Times New Roman"/>
          <w:sz w:val="24"/>
          <w:szCs w:val="24"/>
        </w:rPr>
      </w:pPr>
      <w:r w:rsidRPr="00E17A43">
        <w:rPr>
          <w:rFonts w:ascii="Times New Roman" w:hAnsi="Times New Roman" w:cs="Times New Roman"/>
          <w:sz w:val="24"/>
          <w:szCs w:val="24"/>
        </w:rPr>
        <w:t>В ФНС напоминают, что для комфортности перехода в прошлом году было сделано множество нововведений.</w:t>
      </w:r>
    </w:p>
    <w:p w:rsidR="00531EA4" w:rsidRPr="00E17A43" w:rsidRDefault="00531EA4" w:rsidP="00531EA4">
      <w:pPr>
        <w:pStyle w:val="a3"/>
        <w:ind w:firstLine="1134"/>
        <w:rPr>
          <w:rFonts w:ascii="Times New Roman" w:hAnsi="Times New Roman" w:cs="Times New Roman"/>
          <w:sz w:val="24"/>
          <w:szCs w:val="24"/>
        </w:rPr>
      </w:pPr>
      <w:r w:rsidRPr="00E17A43">
        <w:rPr>
          <w:rFonts w:ascii="Times New Roman" w:hAnsi="Times New Roman" w:cs="Times New Roman"/>
          <w:sz w:val="24"/>
          <w:szCs w:val="24"/>
        </w:rPr>
        <w:t>Патентная система теперь максимально приближена к ЕНВД. В частности, на патенте так же можно уменьшать сумму налога на страховые взносы, с 60 до 80 расширен перечень «патентных» видов деятельности, увеличены ограничения по площади в отношении розничной торговли и оказания услуг общественного питания с 50 кв. м до 150 кв. м. Кроме того, регионы получили право вводить на своей территории патентную систему в отношении любых видов деятельности и устанавливать в отношении таких видов деятельности любые физические показатели для расчета налога. Кроме того, принят переходный режим для плательщиков УСН, если они превысили ограничения по объему доходов или количеству работников. То есть упрощенку теперь можно применять с доходами до 200 млн руб. и количеством сотрудников до 130 человек (ранее — 150 млн руб. и 100 работников). При этом ставка налога будет увеличена с 6% до 8% или с 15% до 20% в зависимости от выбранного объекта налогообложения.</w:t>
      </w:r>
    </w:p>
    <w:p w:rsidR="00531EA4" w:rsidRPr="00E17A43" w:rsidRDefault="00531EA4" w:rsidP="00531EA4">
      <w:pPr>
        <w:pStyle w:val="a3"/>
        <w:ind w:firstLine="1134"/>
        <w:rPr>
          <w:rFonts w:ascii="Times New Roman" w:hAnsi="Times New Roman" w:cs="Times New Roman"/>
          <w:sz w:val="24"/>
          <w:szCs w:val="24"/>
        </w:rPr>
      </w:pPr>
      <w:r w:rsidRPr="00E17A43">
        <w:rPr>
          <w:rFonts w:ascii="Times New Roman" w:hAnsi="Times New Roman" w:cs="Times New Roman"/>
          <w:sz w:val="24"/>
          <w:szCs w:val="24"/>
        </w:rPr>
        <w:t>Согласно письму ФНС от 14 января, у «молчунов», не определившихся с новым режимом, есть еще время сделать это до 1 февраля — в противном случае им придется перейти на общую систему налогообложения, на которой, по мнению главы «Опоры России» Александра Калинина, «малому бизнесу очень сложно существовать». По его словам, вторая опасность перехода в том, что в отличие от ЕНВД на патенте нет ограничений по предельной доходности: «Регионы могут резко увеличить предельную доходность, как, например, было в Ставропольском крае — более чем в два раза, и это риски скачка патентного платежа».</w:t>
      </w:r>
    </w:p>
    <w:p w:rsidR="00531EA4" w:rsidRPr="00E17A43" w:rsidRDefault="00531EA4" w:rsidP="00531EA4">
      <w:pPr>
        <w:pStyle w:val="a3"/>
        <w:ind w:firstLine="1134"/>
        <w:rPr>
          <w:rFonts w:ascii="Times New Roman" w:hAnsi="Times New Roman" w:cs="Times New Roman"/>
          <w:sz w:val="24"/>
          <w:szCs w:val="24"/>
        </w:rPr>
      </w:pPr>
    </w:p>
    <w:sectPr w:rsidR="00531EA4" w:rsidRPr="00E17A43" w:rsidSect="00C6232C">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AA"/>
    <w:rsid w:val="00236CAA"/>
    <w:rsid w:val="00531EA4"/>
    <w:rsid w:val="0060763F"/>
    <w:rsid w:val="007F17D0"/>
    <w:rsid w:val="00C72A61"/>
    <w:rsid w:val="00E17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3336D-4CA8-4F1E-AE47-2558618E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6232C"/>
    <w:pPr>
      <w:spacing w:after="0" w:line="240" w:lineRule="auto"/>
    </w:pPr>
    <w:rPr>
      <w:rFonts w:ascii="Consolas" w:hAnsi="Consolas"/>
      <w:sz w:val="21"/>
      <w:szCs w:val="21"/>
    </w:rPr>
  </w:style>
  <w:style w:type="character" w:customStyle="1" w:styleId="a4">
    <w:name w:val="Текст Знак"/>
    <w:basedOn w:val="a0"/>
    <w:link w:val="a3"/>
    <w:uiPriority w:val="99"/>
    <w:rsid w:val="00C6232C"/>
    <w:rPr>
      <w:rFonts w:ascii="Consolas" w:hAnsi="Consolas"/>
      <w:sz w:val="21"/>
      <w:szCs w:val="21"/>
    </w:rPr>
  </w:style>
  <w:style w:type="character" w:styleId="a5">
    <w:name w:val="Hyperlink"/>
    <w:basedOn w:val="a0"/>
    <w:uiPriority w:val="99"/>
    <w:unhideWhenUsed/>
    <w:rsid w:val="00C72A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ommersant.ru/doc/46543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mmersant.ru/doc/4654324" TargetMode="External"/><Relationship Id="rId5" Type="http://schemas.openxmlformats.org/officeDocument/2006/relationships/hyperlink" Target="https://iz.ru/1113935/mariia-kolobova/oborot-ne-tuda-malye-predpriiatiia-za-2020-god-poteriali-28-trln-rublei" TargetMode="External"/><Relationship Id="rId4" Type="http://schemas.openxmlformats.org/officeDocument/2006/relationships/hyperlink" Target="https://iz.ru/1113938/ekaterina-vinogradova-artur-arutiunov/na-sebe-pokazyvaiut-vyruchka-samozaniatykh-v-internete-vyrosla-v-11-ra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2041</Words>
  <Characters>11635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Сергей</dc:creator>
  <cp:lastModifiedBy>Светлана Павловна Макаровских</cp:lastModifiedBy>
  <cp:revision>2</cp:revision>
  <dcterms:created xsi:type="dcterms:W3CDTF">2021-07-12T04:09:00Z</dcterms:created>
  <dcterms:modified xsi:type="dcterms:W3CDTF">2021-07-12T04:09:00Z</dcterms:modified>
</cp:coreProperties>
</file>