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4539F2" w:rsidRPr="004539F2">
        <w:rPr>
          <w:b/>
        </w:rPr>
        <w:t>Об утверждении административного регламента</w:t>
      </w:r>
      <w:r w:rsidR="004539F2" w:rsidRPr="00A31DE5">
        <w:rPr>
          <w:b/>
        </w:rPr>
        <w:t xml:space="preserve"> </w:t>
      </w:r>
      <w:r w:rsidR="004539F2" w:rsidRPr="004539F2">
        <w:rPr>
          <w:b/>
        </w:rPr>
        <w:t>предоставления муниципальной услуги "О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722750" w:rsidRPr="009C05BF">
        <w:t xml:space="preserve">Об утверждении административного регламента предоставления муниципальной услуги </w:t>
      </w:r>
      <w:r w:rsidR="008F2B58">
        <w:t>«</w:t>
      </w:r>
      <w:r w:rsidR="00722750" w:rsidRPr="009C05BF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EA145D" w:rsidRPr="00EA145D">
        <w:t>»  на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722750" w:rsidRDefault="007C003D" w:rsidP="00722750">
      <w:pPr>
        <w:pStyle w:val="a6"/>
        <w:spacing w:line="276" w:lineRule="auto"/>
        <w:ind w:firstLine="1134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F3593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</w:t>
      </w:r>
      <w:r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: </w:t>
      </w:r>
      <w:r w:rsidR="00EA145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 </w:t>
      </w:r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Федерации»; Федеральным </w:t>
      </w:r>
      <w:hyperlink r:id="rId5" w:history="1">
        <w:r w:rsidR="00722750" w:rsidRPr="00722750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Федеральным </w:t>
      </w:r>
      <w:hyperlink r:id="rId6" w:history="1">
        <w:r w:rsidR="00722750" w:rsidRPr="00722750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 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Федеральным законом от 24.07.2007 № 221-ФЗ «О государственном кадастре недвижимости»;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 постановлением Правительства Российской </w:t>
      </w:r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постановлением администрации Сосновского муниципального района от 04.03.2011 № 1646 «О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района»; Уставом Сосновского муниципального района; Положением о Комитете по управлению имуществом и земельным отношениям Сосновского муниципального района</w:t>
      </w:r>
      <w:r w:rsidR="00490DA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FB7C74" w:rsidRPr="00ED4877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722750" w:rsidRPr="007227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предварительном согласовании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2B58">
        <w:rPr>
          <w:rFonts w:ascii="Times New Roman" w:hAnsi="Times New Roman" w:cs="Times New Roman"/>
          <w:sz w:val="28"/>
          <w:szCs w:val="28"/>
        </w:rPr>
        <w:t>«</w:t>
      </w:r>
      <w:r w:rsidR="008F2B58" w:rsidRPr="008F2B5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D48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1F95"/>
    <w:rsid w:val="000434A8"/>
    <w:rsid w:val="00064511"/>
    <w:rsid w:val="00071D0C"/>
    <w:rsid w:val="000C1D68"/>
    <w:rsid w:val="0012358C"/>
    <w:rsid w:val="0015796C"/>
    <w:rsid w:val="001E5928"/>
    <w:rsid w:val="001F2AD2"/>
    <w:rsid w:val="00286D9E"/>
    <w:rsid w:val="002C2275"/>
    <w:rsid w:val="00310336"/>
    <w:rsid w:val="00364E9D"/>
    <w:rsid w:val="004539F2"/>
    <w:rsid w:val="00490DAD"/>
    <w:rsid w:val="004B0A47"/>
    <w:rsid w:val="005810AC"/>
    <w:rsid w:val="005815C9"/>
    <w:rsid w:val="005C2FA7"/>
    <w:rsid w:val="005E3820"/>
    <w:rsid w:val="00613C6D"/>
    <w:rsid w:val="0067365A"/>
    <w:rsid w:val="006874E6"/>
    <w:rsid w:val="006E36B5"/>
    <w:rsid w:val="00722750"/>
    <w:rsid w:val="007C003D"/>
    <w:rsid w:val="007C7381"/>
    <w:rsid w:val="007F4356"/>
    <w:rsid w:val="008F2B58"/>
    <w:rsid w:val="00906BB1"/>
    <w:rsid w:val="00A97CA6"/>
    <w:rsid w:val="00AB31F9"/>
    <w:rsid w:val="00AB3D90"/>
    <w:rsid w:val="00C74D3D"/>
    <w:rsid w:val="00CF3593"/>
    <w:rsid w:val="00D11C58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21</cp:revision>
  <cp:lastPrinted>2017-09-13T06:38:00Z</cp:lastPrinted>
  <dcterms:created xsi:type="dcterms:W3CDTF">2017-05-25T06:53:00Z</dcterms:created>
  <dcterms:modified xsi:type="dcterms:W3CDTF">2017-10-30T04:47:00Z</dcterms:modified>
</cp:coreProperties>
</file>